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6C" w:rsidRPr="000033F0" w:rsidRDefault="00E2586C" w:rsidP="00E2586C">
      <w:pPr>
        <w:jc w:val="right"/>
        <w:rPr>
          <w:rFonts w:ascii="Calibri" w:hAnsi="Calibri"/>
          <w:i/>
          <w:sz w:val="20"/>
          <w:szCs w:val="20"/>
        </w:rPr>
      </w:pPr>
      <w:r w:rsidRPr="000033F0">
        <w:rPr>
          <w:rFonts w:ascii="Calibri" w:hAnsi="Calibri"/>
          <w:i/>
          <w:sz w:val="20"/>
          <w:szCs w:val="20"/>
        </w:rPr>
        <w:t xml:space="preserve">Załącznik nr </w:t>
      </w:r>
      <w:r w:rsidR="00C1234D" w:rsidRPr="000033F0">
        <w:rPr>
          <w:rFonts w:ascii="Calibri" w:hAnsi="Calibri"/>
          <w:i/>
          <w:sz w:val="20"/>
          <w:szCs w:val="20"/>
        </w:rPr>
        <w:t>1</w:t>
      </w:r>
      <w:r w:rsidR="006A249D">
        <w:rPr>
          <w:rFonts w:ascii="Calibri" w:hAnsi="Calibri"/>
          <w:i/>
          <w:sz w:val="20"/>
          <w:szCs w:val="20"/>
        </w:rPr>
        <w:t>6</w:t>
      </w:r>
      <w:bookmarkStart w:id="0" w:name="_GoBack"/>
      <w:bookmarkEnd w:id="0"/>
      <w:r w:rsidRPr="000033F0">
        <w:rPr>
          <w:rFonts w:ascii="Calibri" w:hAnsi="Calibri"/>
          <w:i/>
          <w:sz w:val="20"/>
          <w:szCs w:val="20"/>
        </w:rPr>
        <w:t xml:space="preserve"> do Regulaminu Konkursu </w:t>
      </w:r>
      <w:r w:rsidR="006E5EE3" w:rsidRPr="000033F0">
        <w:rPr>
          <w:rFonts w:ascii="Calibri" w:hAnsi="Calibri"/>
          <w:i/>
          <w:sz w:val="20"/>
          <w:szCs w:val="20"/>
        </w:rPr>
        <w:t xml:space="preserve">– </w:t>
      </w:r>
      <w:r w:rsidR="00C1234D" w:rsidRPr="000033F0">
        <w:rPr>
          <w:rFonts w:ascii="Calibri" w:hAnsi="Calibri"/>
          <w:i/>
          <w:sz w:val="20"/>
          <w:szCs w:val="20"/>
        </w:rPr>
        <w:t>Kryteria zatwierdzone przez Komitet Monitorujący POWER</w:t>
      </w:r>
    </w:p>
    <w:p w:rsidR="000033F0" w:rsidRPr="000033F0" w:rsidRDefault="000033F0" w:rsidP="000033F0">
      <w:pPr>
        <w:pStyle w:val="Akapitzlist"/>
        <w:ind w:left="360"/>
        <w:jc w:val="both"/>
        <w:rPr>
          <w:rFonts w:ascii="Calibri" w:hAnsi="Calibri"/>
          <w:b/>
        </w:rPr>
      </w:pPr>
    </w:p>
    <w:p w:rsidR="000033F0" w:rsidRPr="000033F0" w:rsidRDefault="000033F0" w:rsidP="000033F0">
      <w:pPr>
        <w:pStyle w:val="Akapitzlist"/>
        <w:ind w:left="360"/>
        <w:jc w:val="center"/>
        <w:rPr>
          <w:rFonts w:ascii="Calibri" w:hAnsi="Calibri"/>
          <w:b/>
          <w:sz w:val="28"/>
          <w:szCs w:val="28"/>
        </w:rPr>
      </w:pPr>
      <w:r w:rsidRPr="000033F0">
        <w:rPr>
          <w:rFonts w:ascii="Calibri" w:hAnsi="Calibri"/>
          <w:b/>
          <w:sz w:val="28"/>
          <w:szCs w:val="28"/>
        </w:rPr>
        <w:t>Kryteria zatwierdzone przez Komitet Monitorujący POWER</w:t>
      </w:r>
    </w:p>
    <w:p w:rsidR="000033F0" w:rsidRPr="000033F0" w:rsidRDefault="000033F0" w:rsidP="000033F0">
      <w:pPr>
        <w:jc w:val="both"/>
        <w:rPr>
          <w:rFonts w:ascii="Calibri" w:hAnsi="Calibri"/>
          <w:b/>
          <w:sz w:val="24"/>
          <w:szCs w:val="24"/>
        </w:rPr>
      </w:pPr>
    </w:p>
    <w:p w:rsidR="000609A1" w:rsidRPr="000033F0" w:rsidRDefault="000609A1" w:rsidP="000609A1">
      <w:pPr>
        <w:pStyle w:val="Akapitzlist"/>
        <w:numPr>
          <w:ilvl w:val="0"/>
          <w:numId w:val="9"/>
        </w:numPr>
        <w:jc w:val="both"/>
        <w:rPr>
          <w:rFonts w:ascii="Calibri" w:hAnsi="Calibri"/>
          <w:sz w:val="20"/>
          <w:szCs w:val="20"/>
        </w:rPr>
      </w:pPr>
      <w:r w:rsidRPr="000033F0">
        <w:rPr>
          <w:rFonts w:ascii="Calibri" w:hAnsi="Calibri"/>
          <w:b/>
        </w:rPr>
        <w:t>Kryteria dostępu</w:t>
      </w:r>
      <w:r w:rsidR="00C1234D" w:rsidRPr="000033F0">
        <w:rPr>
          <w:rFonts w:ascii="Calibri" w:hAnsi="Calibri"/>
          <w:b/>
        </w:rPr>
        <w:t xml:space="preserve"> weryfikowane na etapie oceny formalnej i merytorycznej </w:t>
      </w:r>
    </w:p>
    <w:p w:rsidR="000609A1" w:rsidRPr="000033F0" w:rsidRDefault="000609A1" w:rsidP="00A66C4D">
      <w:pPr>
        <w:jc w:val="both"/>
        <w:rPr>
          <w:rFonts w:ascii="Calibri" w:eastAsia="Times New Roman" w:hAnsi="Calibri"/>
          <w:i/>
          <w:kern w:val="2"/>
          <w:sz w:val="20"/>
          <w:szCs w:val="20"/>
          <w:lang w:eastAsia="pl-PL"/>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1"/>
      </w:tblGrid>
      <w:tr w:rsidR="000609A1" w:rsidRPr="000033F0" w:rsidTr="000033F0">
        <w:trPr>
          <w:trHeight w:val="561"/>
        </w:trPr>
        <w:tc>
          <w:tcPr>
            <w:tcW w:w="567" w:type="dxa"/>
            <w:shd w:val="clear" w:color="auto" w:fill="auto"/>
            <w:vAlign w:val="center"/>
          </w:tcPr>
          <w:p w:rsidR="000609A1" w:rsidRPr="000033F0" w:rsidRDefault="000609A1" w:rsidP="00895AC9">
            <w:pPr>
              <w:spacing w:after="0"/>
              <w:jc w:val="center"/>
              <w:rPr>
                <w:rFonts w:ascii="Calibri" w:eastAsia="Calibri" w:hAnsi="Calibri" w:cs="Arial"/>
                <w:i/>
                <w:sz w:val="20"/>
                <w:szCs w:val="20"/>
              </w:rPr>
            </w:pPr>
            <w:r w:rsidRPr="000033F0">
              <w:rPr>
                <w:rFonts w:ascii="Calibri" w:eastAsia="Calibri" w:hAnsi="Calibri" w:cs="Arial"/>
                <w:i/>
                <w:sz w:val="20"/>
                <w:szCs w:val="20"/>
              </w:rPr>
              <w:t>Lp.</w:t>
            </w:r>
          </w:p>
        </w:tc>
        <w:tc>
          <w:tcPr>
            <w:tcW w:w="13041" w:type="dxa"/>
            <w:tcBorders>
              <w:top w:val="single" w:sz="4" w:space="0" w:color="auto"/>
              <w:bottom w:val="single" w:sz="4" w:space="0" w:color="auto"/>
            </w:tcBorders>
            <w:shd w:val="clear" w:color="auto" w:fill="auto"/>
            <w:vAlign w:val="center"/>
          </w:tcPr>
          <w:p w:rsidR="000609A1" w:rsidRPr="000033F0" w:rsidRDefault="000609A1" w:rsidP="00895AC9">
            <w:pPr>
              <w:spacing w:after="0"/>
              <w:jc w:val="center"/>
              <w:rPr>
                <w:rFonts w:ascii="Calibri" w:eastAsia="Calibri" w:hAnsi="Calibri" w:cs="Arial"/>
                <w:i/>
                <w:sz w:val="20"/>
                <w:szCs w:val="20"/>
              </w:rPr>
            </w:pPr>
            <w:r w:rsidRPr="000033F0">
              <w:rPr>
                <w:rFonts w:ascii="Calibri" w:eastAsia="Calibri" w:hAnsi="Calibri" w:cs="Arial"/>
                <w:i/>
                <w:sz w:val="20"/>
                <w:szCs w:val="20"/>
              </w:rPr>
              <w:t xml:space="preserve">Kryteria </w:t>
            </w:r>
            <w:r w:rsidRPr="000033F0">
              <w:rPr>
                <w:rFonts w:ascii="Calibri" w:eastAsia="Calibri" w:hAnsi="Calibri" w:cs="Calibri"/>
                <w:i/>
                <w:sz w:val="20"/>
                <w:szCs w:val="20"/>
              </w:rPr>
              <w:t>dostępu weryfikowane na etapie oceny formalnej</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1.</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Wnioskodawca łącznie z partnerami (jeżeli dotyczy) posiada udokumentowane doświadczenie w realizacji, w okresie 3 lat przed terminem złożenia wniosku, co najmniej 5 projektów lub usług o łącznej wartości 50 tys. złotych brutto, w ramach których realizowane były szkolenia lub doradztwa dla przedsiębiorców z obszaru prawa zamówień publicznych z zastrzeżeniem, iż w przypadku projektów partnerskich, każdy z partnerów musi posiadać udokumentowane doświadczenie w realizacji co najmniej 2 projektów lub usług o łącznej wartości 5 tys. złotych brutto, w tym co najmniej 1 projekt lub usługa musiała dotyczyć doradztwa z obszaru prawa zamówień publicznych.</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i/>
                <w:sz w:val="20"/>
                <w:szCs w:val="20"/>
              </w:rPr>
            </w:pPr>
            <w:r w:rsidRPr="000033F0">
              <w:rPr>
                <w:rFonts w:ascii="Calibri" w:eastAsia="Calibri" w:hAnsi="Calibri" w:cs="Arial"/>
                <w:i/>
                <w:sz w:val="20"/>
                <w:szCs w:val="20"/>
              </w:rPr>
              <w:t>Kryterium będzie oceniane na podstawie złożonego wraz z wnioskiem o dofinansowanie oświadczenia zawierającego wykaz zrealizowanych projektów/usług szkoleniowych lub doradczych wg wzoru stanowiącego Załącznik nr 10 do Regulaminu, podpisanego przez osoby upoważnione do reprezentowania odpowiednio Wnioskodawcy lub Partnerów (jeśli dotyczy). Do oświadczenia należy załączyć dokumenty potwierdzające wartość projektów/usług, terminy realizacji, zakres tematyczny,  a także  dokumenty potwierdzające, że wykazane projekty/usługi zostały faktycznie zrealizowane oraz, że dotyczyły szkoleń lub doradztwa dla przedsiębiorców z obszaru prawa zamówień publicznych (np. referencje, opinie, listy obecności uczestników, umowy dotyczące realizacji projektów, usług itp.). Projekt niespełniający tego kryterium otrzyma negatywną ocenę. W przypadku, gdy do złożonego wniosku o dofinansowanie nie zostaną załączone dokumenty, z których jednoznacznie wynika, że wykazane w Załączniku nr 10 projekty/usługi zostały faktycznie zrealizowane oraz spełniają wymagane kryteria wniosek podlega odrzuceniu (negatywna ocena) na etapie oceny formalnej. Wnioskodawca musi złożyć dokumenty, które jednoznacznie potwierdzą wykazane doświadczenie, gdyż na etapie oceny formalnej nie ma możliwości uzupełniania dokumentów w zakresie zawartych w nim treści. Uzupełnieniu podlega jedynie brak złożonych dokumentów (wymaganych załączników potwierdzających spełnianie powyższego kryterium dostępu) na etapie weryfikacji poprawności złożonego wniosku. Projekt niespełniający tego kryterium otrzyma negatywną ocenę.</w:t>
            </w:r>
          </w:p>
        </w:tc>
      </w:tr>
      <w:tr w:rsidR="000609A1" w:rsidRPr="000033F0" w:rsidTr="000033F0">
        <w:tc>
          <w:tcPr>
            <w:tcW w:w="567" w:type="dxa"/>
            <w:shd w:val="clear" w:color="auto" w:fill="auto"/>
            <w:vAlign w:val="center"/>
          </w:tcPr>
          <w:p w:rsidR="000609A1" w:rsidRPr="000033F0" w:rsidDel="008F7DE6"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2.</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Wnioskodawca oraz partnerzy (jeśli dotyczy) prowadzą działalność w zakresie szkoleń i doradztwa.</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oraz dokumentów rejestrowych Wnioskodawcy i Partnerów (jeśli dotyczy). Projekt niespełniający tego kryterium otrzyma negatywną ocenę.</w:t>
            </w:r>
          </w:p>
        </w:tc>
      </w:tr>
      <w:tr w:rsidR="000609A1" w:rsidRPr="000033F0" w:rsidTr="000033F0">
        <w:tc>
          <w:tcPr>
            <w:tcW w:w="567" w:type="dxa"/>
            <w:shd w:val="clear" w:color="auto" w:fill="auto"/>
            <w:vAlign w:val="center"/>
          </w:tcPr>
          <w:p w:rsidR="000609A1" w:rsidRPr="000033F0" w:rsidDel="008F7DE6"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3.</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Okres realizacji projektu nie przekracza 24 miesięcy.</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1.7 – Okres realizacji projektu. Projekt niespełniający tego kryterium otrzyma negatywną ocenę. PARP będzie uznawała, że projekt trwa 24 miesiące, o ile jego realizacja zostanie zaplanowana na czas pełnych 24 miesięcy kalendarzowych np. od 14 czerwca 2016 do 13 czerwca 2018. Projekt, którego realizacja zostałaby zaplanowana na czas np. od 14 czerwca 2016 do 14 czerwca 2018 trwa 24 miesiące i 1 dzień i jako taki nie spełnia kryterium dostępu i jest negatywnie oceniony.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lastRenderedPageBreak/>
              <w:t>4.</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Data rozpoczęcia realizacji projektu nie jest późniejsza niż 9 miesięcy od ostatecznego terminu składania wniosków dla konkursu.</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1.7 – Okres realizacji projektu oraz zapisów Regulaminu w zakresie terminów składania wniosku.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5.</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Times New Roman" w:hAnsi="Calibri" w:cs="Arial"/>
                <w:sz w:val="20"/>
                <w:szCs w:val="20"/>
                <w:lang w:eastAsia="pl-PL"/>
              </w:rPr>
            </w:pPr>
            <w:r w:rsidRPr="000033F0">
              <w:rPr>
                <w:rFonts w:ascii="Calibri" w:eastAsia="Times New Roman" w:hAnsi="Calibri" w:cs="Arial"/>
                <w:sz w:val="20"/>
                <w:szCs w:val="20"/>
                <w:lang w:eastAsia="pl-PL"/>
              </w:rPr>
              <w:t>Wartość dofinansowania projektu nie może przekroczyć wartości alokacji przeznaczonej na dofinansowanie projektu na danym obszarze, wskazanym w Regulaminie konkursu.</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V – Budżet projektu.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6.</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Projekt dotyczy tylko jednego z 5 obszarów (grup województw) wymienionych w Podrozdziale 4.4. Regulaminu konkursu.</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1.8  – obszar realizacji projektu.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7.</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Uczestnikami projektu są przedsiębiorcy (i ich pracownicy) z sektora MMSP mający siedzibę (zgodnie z dokumentem rejestrowym) na terenie obszaru, którego dotyczy projekt, w tym co najmniej 80% uczestników projektu stanowią przedsiębiorcy z  sektora MMP.</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weryfikowane na podstawie zapisów wniosku o dofinansowanie, szczególnie na podstawie punktu 3.2 – Grupy docelowe.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8.</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Wnioskodawca złożył tylko jeden wniosek o dofinansowanie w ramach konkursu.</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9.</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Podmiot/y wskazany/e jako partner/</w:t>
            </w:r>
            <w:proofErr w:type="spellStart"/>
            <w:r w:rsidRPr="000033F0">
              <w:rPr>
                <w:rFonts w:ascii="Calibri" w:eastAsia="Calibri" w:hAnsi="Calibri" w:cs="Arial"/>
                <w:sz w:val="20"/>
                <w:szCs w:val="20"/>
                <w:lang w:eastAsia="pl-PL"/>
              </w:rPr>
              <w:t>rzy</w:t>
            </w:r>
            <w:proofErr w:type="spellEnd"/>
            <w:r w:rsidRPr="000033F0">
              <w:rPr>
                <w:rFonts w:ascii="Calibri" w:eastAsia="Calibri" w:hAnsi="Calibri" w:cs="Arial"/>
                <w:sz w:val="20"/>
                <w:szCs w:val="20"/>
                <w:lang w:eastAsia="pl-PL"/>
              </w:rPr>
              <w:t xml:space="preserve"> występuje/ą tylko w jednym wniosku o dofinansowanie złożonym w ramach konkursu.</w:t>
            </w: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0033F0" w:rsidTr="000033F0">
        <w:tc>
          <w:tcPr>
            <w:tcW w:w="567" w:type="dxa"/>
            <w:shd w:val="clear" w:color="auto" w:fill="auto"/>
            <w:vAlign w:val="center"/>
          </w:tcPr>
          <w:p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10.</w:t>
            </w:r>
          </w:p>
        </w:tc>
        <w:tc>
          <w:tcPr>
            <w:tcW w:w="13041" w:type="dxa"/>
            <w:tcBorders>
              <w:top w:val="single" w:sz="4" w:space="0" w:color="auto"/>
              <w:bottom w:val="single" w:sz="4" w:space="0" w:color="auto"/>
            </w:tcBorders>
            <w:shd w:val="clear" w:color="auto" w:fill="auto"/>
          </w:tcPr>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Wydatki związane ze zlecaniem zadań merytorycznych nie przekraczają 30% wartości projektu.</w:t>
            </w:r>
          </w:p>
          <w:p w:rsidR="000609A1" w:rsidRPr="000033F0" w:rsidRDefault="000609A1" w:rsidP="00895AC9">
            <w:pPr>
              <w:spacing w:before="40" w:after="40" w:line="240" w:lineRule="exact"/>
              <w:jc w:val="both"/>
              <w:rPr>
                <w:rFonts w:ascii="Calibri" w:eastAsia="Calibri" w:hAnsi="Calibri" w:cs="Arial"/>
                <w:sz w:val="20"/>
                <w:szCs w:val="20"/>
                <w:lang w:eastAsia="pl-PL"/>
              </w:rPr>
            </w:pPr>
          </w:p>
          <w:p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V i VI – Budżet projektu. Projekt niespełniający tego kryterium otrzyma negatywną ocenę.</w:t>
            </w:r>
          </w:p>
        </w:tc>
      </w:tr>
      <w:tr w:rsidR="000609A1" w:rsidRPr="000033F0" w:rsidTr="000033F0">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609A1" w:rsidRPr="000033F0"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p>
        </w:tc>
        <w:tc>
          <w:tcPr>
            <w:tcW w:w="13041" w:type="dxa"/>
            <w:tcBorders>
              <w:top w:val="single" w:sz="4" w:space="0" w:color="auto"/>
              <w:left w:val="single" w:sz="4" w:space="0" w:color="auto"/>
              <w:bottom w:val="single" w:sz="4" w:space="0" w:color="auto"/>
              <w:right w:val="single" w:sz="4" w:space="0" w:color="auto"/>
            </w:tcBorders>
            <w:shd w:val="clear" w:color="auto" w:fill="auto"/>
            <w:vAlign w:val="center"/>
          </w:tcPr>
          <w:p w:rsidR="000609A1" w:rsidRPr="000033F0"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r w:rsidRPr="000033F0">
              <w:rPr>
                <w:rFonts w:ascii="Calibri" w:eastAsia="Calibri" w:hAnsi="Calibri" w:cs="Calibri"/>
                <w:b/>
                <w:i/>
                <w:kern w:val="2"/>
                <w:sz w:val="20"/>
                <w:szCs w:val="20"/>
                <w:lang w:eastAsia="pl-PL"/>
              </w:rPr>
              <w:t xml:space="preserve">Kryteria </w:t>
            </w:r>
            <w:r w:rsidRPr="000033F0">
              <w:rPr>
                <w:rFonts w:ascii="Calibri" w:eastAsia="Times New Roman" w:hAnsi="Calibri" w:cs="Times New Roman"/>
                <w:b/>
                <w:i/>
                <w:kern w:val="2"/>
                <w:sz w:val="20"/>
                <w:szCs w:val="20"/>
                <w:lang w:eastAsia="pl-PL"/>
              </w:rPr>
              <w:t>dostępu weryfikowane na etapie oceny merytorycznej</w:t>
            </w:r>
          </w:p>
        </w:tc>
      </w:tr>
      <w:tr w:rsidR="000609A1" w:rsidRPr="000033F0" w:rsidTr="000033F0">
        <w:trPr>
          <w:trHeight w:val="332"/>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09A1" w:rsidRPr="000033F0"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0033F0">
              <w:rPr>
                <w:rFonts w:ascii="Calibri" w:eastAsia="Calibri" w:hAnsi="Calibri" w:cs="Arial"/>
                <w:kern w:val="2"/>
                <w:sz w:val="20"/>
                <w:szCs w:val="20"/>
              </w:rPr>
              <w:t>11.</w:t>
            </w:r>
          </w:p>
        </w:tc>
        <w:tc>
          <w:tcPr>
            <w:tcW w:w="13041" w:type="dxa"/>
            <w:tcBorders>
              <w:top w:val="single" w:sz="4" w:space="0" w:color="auto"/>
              <w:left w:val="single" w:sz="4" w:space="0" w:color="auto"/>
              <w:bottom w:val="single" w:sz="4" w:space="0" w:color="auto"/>
              <w:right w:val="single" w:sz="4" w:space="0" w:color="auto"/>
            </w:tcBorders>
            <w:shd w:val="clear" w:color="auto" w:fill="auto"/>
          </w:tcPr>
          <w:p w:rsidR="000609A1" w:rsidRPr="000033F0"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0033F0">
              <w:rPr>
                <w:rFonts w:ascii="Calibri" w:eastAsia="Calibri" w:hAnsi="Calibri" w:cs="Arial"/>
                <w:kern w:val="2"/>
                <w:sz w:val="20"/>
                <w:szCs w:val="20"/>
              </w:rPr>
              <w:t xml:space="preserve">Projekt zakłada realizację co najmniej następujących działań: </w:t>
            </w:r>
          </w:p>
          <w:p w:rsidR="000609A1" w:rsidRPr="000033F0" w:rsidRDefault="000609A1" w:rsidP="000609A1">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0033F0">
              <w:rPr>
                <w:rFonts w:ascii="Calibri" w:eastAsia="Calibri" w:hAnsi="Calibri" w:cs="Arial"/>
                <w:kern w:val="2"/>
                <w:sz w:val="20"/>
                <w:szCs w:val="20"/>
              </w:rPr>
              <w:t>Identyfikacja i rekrutacja potencjalnych odbiorców wsparcia,</w:t>
            </w:r>
          </w:p>
          <w:p w:rsidR="000609A1" w:rsidRPr="000033F0" w:rsidRDefault="000609A1" w:rsidP="000609A1">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0033F0">
              <w:rPr>
                <w:rFonts w:ascii="Calibri" w:eastAsia="Calibri" w:hAnsi="Calibri" w:cs="Arial"/>
                <w:kern w:val="2"/>
                <w:sz w:val="20"/>
                <w:szCs w:val="20"/>
              </w:rPr>
              <w:t>Przygotowanie i przeprowadzenie działań szkoleniowych i doradczych z zakresu ubiegania się o zamówienia publiczne w Polsce skierowanych do przedsiębiorców sektora MMSP (i ich pracowników),</w:t>
            </w:r>
          </w:p>
          <w:p w:rsidR="000609A1" w:rsidRPr="000033F0" w:rsidRDefault="000609A1" w:rsidP="000609A1">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0033F0">
              <w:rPr>
                <w:rFonts w:ascii="Calibri" w:eastAsia="Calibri" w:hAnsi="Calibri" w:cs="Arial"/>
                <w:kern w:val="2"/>
                <w:sz w:val="20"/>
                <w:szCs w:val="20"/>
              </w:rPr>
              <w:t>Zorganizowanie i prowadzenie działań doradczych (bez komponentu szkoleniowego) z zakresu ubiegania się o zamówienia publiczne w Polsce skierowanych do przedsiębiorców sektora MMSP (i ich pracowników).W ramach świadczonego doradztwa przedsiębiorcy m.in. otrzymają wsparcie doradcze w zakresie przygotowywania i składania  ofert przetargowych, co pozwoli na monitorowanie udziału przedsiębiorców objętych projektem w rynku zamówień publicznych w Polsce.</w:t>
            </w:r>
          </w:p>
          <w:p w:rsidR="000609A1" w:rsidRPr="000033F0"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p>
          <w:p w:rsidR="000609A1" w:rsidRPr="000033F0"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0033F0">
              <w:rPr>
                <w:rFonts w:ascii="Calibri" w:eastAsia="Calibri" w:hAnsi="Calibri" w:cs="Arial"/>
                <w:i/>
                <w:sz w:val="20"/>
                <w:szCs w:val="20"/>
              </w:rPr>
              <w:t xml:space="preserve">Kryterium będzie oceniane na podstawie zapisów wniosku o dofinansowanie – pkt 3.4 Opis projektu oraz pkt.  IV – Sposób realizacji projektu oraz potencjał i doświadczenie wnioskodawcy i partnerów. W przypadku, gdy Wnioskodawca we wniosku o dofinansowanie nie zaplanuje realizacji któregoś z ww. działań, wniosek otrzyma negatywną ocenę na etapie oceny merytorycznej, jako niespełniający kryterium dostępu weryfikowanego na etapie oceny merytorycznej.  </w:t>
            </w:r>
          </w:p>
        </w:tc>
      </w:tr>
      <w:tr w:rsidR="000609A1" w:rsidRPr="000033F0" w:rsidTr="000033F0">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09A1" w:rsidRPr="000033F0"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0033F0">
              <w:rPr>
                <w:rFonts w:ascii="Calibri" w:eastAsia="Calibri" w:hAnsi="Calibri" w:cs="Arial"/>
                <w:kern w:val="2"/>
                <w:sz w:val="20"/>
                <w:szCs w:val="20"/>
              </w:rPr>
              <w:t>12.</w:t>
            </w:r>
          </w:p>
        </w:tc>
        <w:tc>
          <w:tcPr>
            <w:tcW w:w="13041" w:type="dxa"/>
            <w:tcBorders>
              <w:top w:val="single" w:sz="4" w:space="0" w:color="auto"/>
              <w:left w:val="single" w:sz="4" w:space="0" w:color="auto"/>
              <w:bottom w:val="single" w:sz="4" w:space="0" w:color="auto"/>
              <w:right w:val="single" w:sz="4" w:space="0" w:color="auto"/>
            </w:tcBorders>
            <w:shd w:val="clear" w:color="auto" w:fill="auto"/>
          </w:tcPr>
          <w:p w:rsidR="000609A1" w:rsidRPr="000033F0" w:rsidRDefault="000609A1" w:rsidP="00895AC9">
            <w:pPr>
              <w:suppressAutoHyphens/>
              <w:overflowPunct w:val="0"/>
              <w:autoSpaceDE w:val="0"/>
              <w:autoSpaceDN w:val="0"/>
              <w:adjustRightInd w:val="0"/>
              <w:spacing w:before="120" w:after="0" w:line="240" w:lineRule="auto"/>
              <w:jc w:val="both"/>
              <w:rPr>
                <w:rFonts w:ascii="Calibri" w:eastAsia="Calibri" w:hAnsi="Calibri" w:cs="Arial"/>
                <w:sz w:val="20"/>
                <w:szCs w:val="20"/>
              </w:rPr>
            </w:pPr>
            <w:r w:rsidRPr="000033F0">
              <w:rPr>
                <w:rFonts w:ascii="Calibri" w:eastAsia="Calibri" w:hAnsi="Calibri" w:cs="Arial"/>
                <w:sz w:val="20"/>
                <w:szCs w:val="20"/>
              </w:rPr>
              <w:t xml:space="preserve">Wnioskodawca oraz partnerzy (jeśli dotyczy) dysponuje, zatrudnionym w oparciu o umowę o pracę lub umowę o współpracy, personelem merytorycznym (trenerzy/doradcy) posiadającymi udokumentowane doświadczenie w prowadzeniu szkoleń lub doradztwa z obszaru prawa zamówień publicznych dla przedsiębiorców. W przypadku trenerów wymagane jest posiadanie wypracowanych co najmniej 320 godzin szkoleniowych w okresie 3 lat przed terminem złożenia wniosku z obszaru prawa zamówień publicznych dla przedsiębiorców. W przypadku doradców wymagane jest posiadanie wypracowanych co najmniej 320 godzin doradczych w okresie 3 lat przed terminem złożenia wniosku z obszaru prawa zamówień publicznych dla przedsiębiorców. W przypadku łączenia funkcji trenera i doradcy przez jedną osobę, wymagane jest posiadanie wymaganego doświadczenia zarówno w odniesieniu do trenera, jak i doradcy.  </w:t>
            </w:r>
          </w:p>
          <w:p w:rsidR="000609A1" w:rsidRPr="000033F0" w:rsidRDefault="000609A1" w:rsidP="00895AC9">
            <w:pPr>
              <w:jc w:val="both"/>
              <w:rPr>
                <w:rFonts w:ascii="Calibri" w:eastAsia="Calibri" w:hAnsi="Calibri" w:cs="Arial"/>
                <w:i/>
                <w:sz w:val="20"/>
                <w:szCs w:val="20"/>
              </w:rPr>
            </w:pPr>
          </w:p>
          <w:p w:rsidR="000609A1" w:rsidRPr="000033F0" w:rsidRDefault="000609A1" w:rsidP="00895AC9">
            <w:pPr>
              <w:jc w:val="both"/>
              <w:rPr>
                <w:rFonts w:ascii="Calibri" w:eastAsia="Calibri" w:hAnsi="Calibri"/>
                <w:sz w:val="20"/>
                <w:szCs w:val="20"/>
              </w:rPr>
            </w:pPr>
            <w:r w:rsidRPr="000033F0">
              <w:rPr>
                <w:rFonts w:ascii="Calibri" w:eastAsia="Calibri" w:hAnsi="Calibri" w:cs="Arial"/>
                <w:i/>
                <w:sz w:val="20"/>
                <w:szCs w:val="20"/>
              </w:rPr>
              <w:t xml:space="preserve">Kryterium będzie oceniane na podstawie zapisów wniosku o dofinansowanie – pkt IV – Sposób realizacji projektu oraz potencjał i doświadczenie wnioskodawcy i partnerów oraz na podstawie oświadczenia potwierdzającego, że Wnioskodawca dysponuje personelem o wymaganym doświadczeniu wg wzoru stanowiącego Załącznika nr 11 do Regulaminu, podpisanego przez osoby upoważnione do reprezentowania odpowiednio Wnioskodawcy i Partnerów oraz życiorysów zawodowych (wzór życiorys trenera/doradcy stanowi Załącznik nr 12 do Regulaminu) dwóch trenerów wiodących oraz dwóch doradców kluczowych wraz z dokumentami potwierdzającymi wypracowane przez nich godziny szkoleniowe lub doradcze. W przypadku, gdy do złożonego wniosku o dofinansowanie nie zostaną załączone oświadczenia, życiorysy zawodowe oraz dokumenty, z których jednoznacznie wynika, że trenerzy/doradcy wykazani w oświadczeniu posiadają wymagane doświadczenie wniosek podlega odrzuceniu (negatywna ocena) na etapie oceny formalnej. Wnioskodawca musi złożyć dokumenty, z  które jednoznacznie potwierdzą doświadczenie trenerów/doradców, gdyż na etapie oceny formalnej nie ma możliwości uzupełniania dokumentów w zakresie zawartych w nim treści. Uzupełnieniu podlega jedynie brak złożonych dokumentów (wymaganych załączników potwierdzających </w:t>
            </w:r>
            <w:r w:rsidRPr="000033F0">
              <w:rPr>
                <w:rFonts w:ascii="Calibri" w:eastAsia="Calibri" w:hAnsi="Calibri" w:cs="Arial"/>
                <w:i/>
                <w:sz w:val="20"/>
                <w:szCs w:val="20"/>
              </w:rPr>
              <w:lastRenderedPageBreak/>
              <w:t>spełnianie powyższego kryterium dostępu) na etapie weryfikacji poprawności złożonego wniosku.</w:t>
            </w:r>
          </w:p>
        </w:tc>
      </w:tr>
    </w:tbl>
    <w:p w:rsidR="000609A1" w:rsidRPr="000033F0" w:rsidRDefault="000609A1" w:rsidP="00A66C4D">
      <w:pPr>
        <w:jc w:val="both"/>
        <w:rPr>
          <w:rFonts w:ascii="Calibri" w:hAnsi="Calibri"/>
          <w:sz w:val="20"/>
          <w:szCs w:val="20"/>
        </w:rPr>
      </w:pPr>
    </w:p>
    <w:p w:rsidR="00703F6D" w:rsidRPr="000033F0" w:rsidRDefault="00703F6D" w:rsidP="00703F6D">
      <w:pPr>
        <w:pStyle w:val="Akapitzlist"/>
        <w:numPr>
          <w:ilvl w:val="0"/>
          <w:numId w:val="9"/>
        </w:numPr>
        <w:jc w:val="both"/>
        <w:rPr>
          <w:rFonts w:ascii="Calibri" w:hAnsi="Calibri"/>
          <w:b/>
        </w:rPr>
      </w:pPr>
      <w:r w:rsidRPr="000033F0">
        <w:rPr>
          <w:rFonts w:ascii="Calibri" w:hAnsi="Calibri"/>
          <w:b/>
        </w:rPr>
        <w:t xml:space="preserve">Kryteria premiujące </w:t>
      </w:r>
    </w:p>
    <w:p w:rsidR="00703F6D" w:rsidRPr="000033F0" w:rsidRDefault="00703F6D" w:rsidP="00703F6D">
      <w:pPr>
        <w:pStyle w:val="Akapitzlist"/>
        <w:ind w:left="360"/>
        <w:jc w:val="both"/>
        <w:rPr>
          <w:rFonts w:ascii="Calibri" w:hAnsi="Calibri"/>
          <w:sz w:val="20"/>
          <w:szCs w:val="20"/>
        </w:rPr>
      </w:pPr>
    </w:p>
    <w:tbl>
      <w:tblPr>
        <w:tblW w:w="4937" w:type="pct"/>
        <w:tblInd w:w="108" w:type="dxa"/>
        <w:tblLayout w:type="fixed"/>
        <w:tblLook w:val="04A0" w:firstRow="1" w:lastRow="0" w:firstColumn="1" w:lastColumn="0" w:noHBand="0" w:noVBand="1"/>
      </w:tblPr>
      <w:tblGrid>
        <w:gridCol w:w="1044"/>
        <w:gridCol w:w="9729"/>
        <w:gridCol w:w="2884"/>
      </w:tblGrid>
      <w:tr w:rsidR="00703F6D" w:rsidRPr="000033F0" w:rsidTr="00FA11DC">
        <w:trPr>
          <w:cantSplit/>
          <w:trHeight w:val="568"/>
        </w:trPr>
        <w:tc>
          <w:tcPr>
            <w:tcW w:w="382"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703F6D" w:rsidRPr="000033F0" w:rsidRDefault="00703F6D" w:rsidP="00895AC9">
            <w:pPr>
              <w:jc w:val="center"/>
              <w:rPr>
                <w:rFonts w:ascii="Calibri" w:eastAsia="Calibri" w:hAnsi="Calibri" w:cs="Times New Roman"/>
                <w:b/>
                <w:i/>
                <w:sz w:val="20"/>
                <w:szCs w:val="20"/>
              </w:rPr>
            </w:pPr>
            <w:r w:rsidRPr="000033F0">
              <w:rPr>
                <w:rFonts w:ascii="Calibri" w:eastAsia="Calibri" w:hAnsi="Calibri" w:cs="Times New Roman"/>
                <w:b/>
                <w:i/>
                <w:sz w:val="20"/>
                <w:szCs w:val="20"/>
              </w:rPr>
              <w:t>Lp.</w:t>
            </w:r>
          </w:p>
        </w:tc>
        <w:tc>
          <w:tcPr>
            <w:tcW w:w="3562"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703F6D" w:rsidRPr="000033F0" w:rsidRDefault="00703F6D" w:rsidP="00895AC9">
            <w:pPr>
              <w:jc w:val="center"/>
              <w:rPr>
                <w:rFonts w:ascii="Calibri" w:eastAsia="Calibri" w:hAnsi="Calibri" w:cs="Times New Roman"/>
                <w:b/>
                <w:i/>
                <w:sz w:val="20"/>
                <w:szCs w:val="20"/>
              </w:rPr>
            </w:pPr>
            <w:r w:rsidRPr="000033F0">
              <w:rPr>
                <w:rFonts w:ascii="Calibri" w:eastAsia="Calibri" w:hAnsi="Calibri" w:cs="Times New Roman"/>
                <w:b/>
                <w:i/>
                <w:sz w:val="20"/>
                <w:szCs w:val="20"/>
              </w:rPr>
              <w:t>Kryterium premiujące</w:t>
            </w:r>
          </w:p>
        </w:tc>
        <w:tc>
          <w:tcPr>
            <w:tcW w:w="1056"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703F6D" w:rsidRPr="000033F0" w:rsidRDefault="00703F6D" w:rsidP="00895AC9">
            <w:pPr>
              <w:jc w:val="center"/>
              <w:rPr>
                <w:rFonts w:ascii="Calibri" w:eastAsia="Times New Roman" w:hAnsi="Calibri" w:cs="Times New Roman"/>
                <w:b/>
                <w:bCs/>
                <w:i/>
                <w:spacing w:val="-2"/>
                <w:kern w:val="32"/>
                <w:sz w:val="20"/>
                <w:szCs w:val="20"/>
                <w:lang w:eastAsia="x-none"/>
              </w:rPr>
            </w:pPr>
            <w:r w:rsidRPr="000033F0">
              <w:rPr>
                <w:rFonts w:ascii="Calibri" w:eastAsia="Times New Roman" w:hAnsi="Calibri" w:cs="Times New Roman"/>
                <w:b/>
                <w:bCs/>
                <w:i/>
                <w:spacing w:val="-2"/>
                <w:kern w:val="32"/>
                <w:sz w:val="20"/>
                <w:szCs w:val="20"/>
                <w:lang w:eastAsia="x-none"/>
              </w:rPr>
              <w:t>Liczba dodatkowych punktów</w:t>
            </w:r>
          </w:p>
        </w:tc>
      </w:tr>
      <w:tr w:rsidR="00703F6D" w:rsidRPr="000033F0" w:rsidTr="00FA11DC">
        <w:trPr>
          <w:cantSplit/>
          <w:trHeight w:val="567"/>
        </w:trPr>
        <w:tc>
          <w:tcPr>
            <w:tcW w:w="382" w:type="pct"/>
            <w:tcBorders>
              <w:top w:val="single" w:sz="4" w:space="0" w:color="000000"/>
              <w:left w:val="single" w:sz="4" w:space="0" w:color="000000"/>
              <w:bottom w:val="single" w:sz="4" w:space="0" w:color="000000"/>
              <w:right w:val="single" w:sz="4" w:space="0" w:color="000000"/>
            </w:tcBorders>
            <w:vAlign w:val="center"/>
          </w:tcPr>
          <w:p w:rsidR="00703F6D" w:rsidRPr="000033F0"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1</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Osoba wskazana we wniosku o dofinasowanie jako Kierownik projektu dysponuje certyfikatem PRINCE2, PMI, IMPA (lista certyfikatów może podlegać rozszerzeniu) lub dyplomem studiów z zakresu zarządzania projektami/administrowania funduszami UE lub posiada udokumentowane doświadczenie w zarządzaniu co najmniej 2 zakończonymi projektami lub usługami szkoleniowymi, szkoleniowo-doradczymi lub doradczymi, gdzie każdy/a był/a:</w:t>
            </w:r>
          </w:p>
          <w:p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 Skierowany/a do przedsiębiorców (co najmniej 80% przedsiębiorstw objętych projektem lub /usługą stanowiły MMSP),</w:t>
            </w:r>
          </w:p>
          <w:p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 o wartości równoważnej co najmniej 50 000,00 PLN,</w:t>
            </w:r>
          </w:p>
          <w:p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 zrealizowany/a w ciągu ostatnich 3 lat od terminu złożenia wniosku.</w:t>
            </w:r>
          </w:p>
        </w:tc>
        <w:tc>
          <w:tcPr>
            <w:tcW w:w="10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F6D" w:rsidRPr="000033F0" w:rsidRDefault="00703F6D" w:rsidP="00895AC9">
            <w:pPr>
              <w:spacing w:after="0"/>
              <w:jc w:val="center"/>
              <w:rPr>
                <w:rFonts w:ascii="Calibri" w:eastAsia="Times New Roman" w:hAnsi="Calibri" w:cs="Times New Roman"/>
                <w:bCs/>
                <w:spacing w:val="-2"/>
                <w:kern w:val="32"/>
                <w:sz w:val="20"/>
                <w:szCs w:val="20"/>
                <w:lang w:eastAsia="x-none"/>
              </w:rPr>
            </w:pPr>
            <w:r w:rsidRPr="000033F0">
              <w:rPr>
                <w:rFonts w:ascii="Calibri" w:eastAsia="Times New Roman" w:hAnsi="Calibri" w:cs="Times New Roman"/>
                <w:bCs/>
                <w:spacing w:val="-2"/>
                <w:kern w:val="32"/>
                <w:sz w:val="20"/>
                <w:szCs w:val="20"/>
                <w:lang w:eastAsia="x-none"/>
              </w:rPr>
              <w:t>2</w:t>
            </w:r>
          </w:p>
        </w:tc>
      </w:tr>
      <w:tr w:rsidR="00703F6D" w:rsidRPr="000033F0" w:rsidTr="00FA11DC">
        <w:trPr>
          <w:cantSplit/>
          <w:trHeight w:val="567"/>
        </w:trPr>
        <w:tc>
          <w:tcPr>
            <w:tcW w:w="382" w:type="pct"/>
            <w:tcBorders>
              <w:top w:val="single" w:sz="4" w:space="0" w:color="000000"/>
              <w:left w:val="single" w:sz="4" w:space="0" w:color="000000"/>
              <w:bottom w:val="single" w:sz="4" w:space="0" w:color="000000"/>
              <w:right w:val="single" w:sz="4" w:space="0" w:color="000000"/>
            </w:tcBorders>
            <w:vAlign w:val="center"/>
          </w:tcPr>
          <w:p w:rsidR="00703F6D" w:rsidRPr="000033F0"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2</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W skład personelu odpowiadającego za zarządzania projektem wchodzi osoba posiadającej udokumentowane doświadczenie w realizacji co najmniej 2 projektów/ usług, w ramach których udzielana była pomoc publiczna/pomoc de minimis przedsiębiorcom.</w:t>
            </w:r>
          </w:p>
        </w:tc>
        <w:tc>
          <w:tcPr>
            <w:tcW w:w="10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F6D" w:rsidRPr="000033F0" w:rsidRDefault="00703F6D" w:rsidP="00895AC9">
            <w:pPr>
              <w:spacing w:after="0"/>
              <w:jc w:val="center"/>
              <w:rPr>
                <w:rFonts w:ascii="Calibri" w:eastAsia="Times New Roman" w:hAnsi="Calibri" w:cs="Times New Roman"/>
                <w:bCs/>
                <w:spacing w:val="-2"/>
                <w:kern w:val="32"/>
                <w:sz w:val="20"/>
                <w:szCs w:val="20"/>
                <w:lang w:eastAsia="x-none"/>
              </w:rPr>
            </w:pPr>
            <w:r w:rsidRPr="000033F0">
              <w:rPr>
                <w:rFonts w:ascii="Calibri" w:eastAsia="Times New Roman" w:hAnsi="Calibri" w:cs="Times New Roman"/>
                <w:bCs/>
                <w:spacing w:val="-2"/>
                <w:kern w:val="32"/>
                <w:sz w:val="20"/>
                <w:szCs w:val="20"/>
                <w:lang w:eastAsia="x-none"/>
              </w:rPr>
              <w:t>2</w:t>
            </w:r>
          </w:p>
        </w:tc>
      </w:tr>
      <w:tr w:rsidR="00703F6D" w:rsidRPr="000033F0" w:rsidTr="00FA11DC">
        <w:trPr>
          <w:cantSplit/>
          <w:trHeight w:val="567"/>
        </w:trPr>
        <w:tc>
          <w:tcPr>
            <w:tcW w:w="382" w:type="pct"/>
            <w:tcBorders>
              <w:top w:val="single" w:sz="4" w:space="0" w:color="000000"/>
              <w:left w:val="single" w:sz="4" w:space="0" w:color="000000"/>
              <w:bottom w:val="single" w:sz="4" w:space="0" w:color="000000"/>
              <w:right w:val="single" w:sz="4" w:space="0" w:color="000000"/>
            </w:tcBorders>
            <w:vAlign w:val="center"/>
          </w:tcPr>
          <w:p w:rsidR="00703F6D" w:rsidRPr="000033F0"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3</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Co najmniej 10% uczestników projektu stanowić będą osoby, które w momencie przystąpienia do projektu ukończyły co najmniej 45 rok życia.</w:t>
            </w:r>
          </w:p>
        </w:tc>
        <w:tc>
          <w:tcPr>
            <w:tcW w:w="10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F6D" w:rsidRPr="000033F0" w:rsidRDefault="00703F6D" w:rsidP="00895AC9">
            <w:pPr>
              <w:spacing w:after="0"/>
              <w:jc w:val="center"/>
              <w:rPr>
                <w:rFonts w:ascii="Calibri" w:eastAsia="Times New Roman" w:hAnsi="Calibri" w:cs="Times New Roman"/>
                <w:bCs/>
                <w:spacing w:val="-2"/>
                <w:kern w:val="32"/>
                <w:sz w:val="20"/>
                <w:szCs w:val="20"/>
                <w:lang w:eastAsia="x-none"/>
              </w:rPr>
            </w:pPr>
            <w:r w:rsidRPr="000033F0">
              <w:rPr>
                <w:rFonts w:ascii="Calibri" w:eastAsia="Times New Roman" w:hAnsi="Calibri" w:cs="Times New Roman"/>
                <w:bCs/>
                <w:spacing w:val="-2"/>
                <w:kern w:val="32"/>
                <w:sz w:val="20"/>
                <w:szCs w:val="20"/>
                <w:lang w:eastAsia="x-none"/>
              </w:rPr>
              <w:t>2</w:t>
            </w:r>
          </w:p>
        </w:tc>
      </w:tr>
    </w:tbl>
    <w:p w:rsidR="000609A1" w:rsidRPr="000033F0" w:rsidRDefault="000609A1" w:rsidP="00A66C4D">
      <w:pPr>
        <w:jc w:val="both"/>
        <w:rPr>
          <w:rFonts w:ascii="Calibri" w:hAnsi="Calibri"/>
          <w:sz w:val="20"/>
          <w:szCs w:val="20"/>
        </w:rPr>
      </w:pPr>
    </w:p>
    <w:sectPr w:rsidR="000609A1" w:rsidRPr="000033F0" w:rsidSect="000033F0">
      <w:headerReference w:type="default" r:id="rId8"/>
      <w:footerReference w:type="default" r:id="rId9"/>
      <w:pgSz w:w="16838" w:h="11906" w:orient="landscape"/>
      <w:pgMar w:top="1417" w:right="1806"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883" w:rsidRDefault="00F91883" w:rsidP="00F91883">
      <w:pPr>
        <w:spacing w:after="0" w:line="240" w:lineRule="auto"/>
      </w:pPr>
      <w:r>
        <w:separator/>
      </w:r>
    </w:p>
  </w:endnote>
  <w:endnote w:type="continuationSeparator" w:id="0">
    <w:p w:rsidR="00F91883" w:rsidRDefault="00F91883"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574957"/>
      <w:docPartObj>
        <w:docPartGallery w:val="Page Numbers (Bottom of Page)"/>
        <w:docPartUnique/>
      </w:docPartObj>
    </w:sdtPr>
    <w:sdtEndPr/>
    <w:sdtContent>
      <w:p w:rsidR="00E2586C" w:rsidRDefault="00E2586C">
        <w:pPr>
          <w:pStyle w:val="Stopka"/>
          <w:jc w:val="right"/>
        </w:pPr>
        <w:r>
          <w:fldChar w:fldCharType="begin"/>
        </w:r>
        <w:r>
          <w:instrText>PAGE   \* MERGEFORMAT</w:instrText>
        </w:r>
        <w:r>
          <w:fldChar w:fldCharType="separate"/>
        </w:r>
        <w:r w:rsidR="006A249D">
          <w:rPr>
            <w:noProof/>
          </w:rPr>
          <w:t>1</w:t>
        </w:r>
        <w:r>
          <w:fldChar w:fldCharType="end"/>
        </w:r>
      </w:p>
    </w:sdtContent>
  </w:sdt>
  <w:p w:rsidR="00E2586C" w:rsidRDefault="00E258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883" w:rsidRDefault="00F91883" w:rsidP="00F91883">
      <w:pPr>
        <w:spacing w:after="0" w:line="240" w:lineRule="auto"/>
      </w:pPr>
      <w:r>
        <w:separator/>
      </w:r>
    </w:p>
  </w:footnote>
  <w:footnote w:type="continuationSeparator" w:id="0">
    <w:p w:rsidR="00F91883" w:rsidRDefault="00F91883" w:rsidP="00F9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6C" w:rsidRDefault="00E2586C">
    <w:pPr>
      <w:pStyle w:val="Nagwek"/>
    </w:pPr>
    <w:r>
      <w:rPr>
        <w:noProof/>
        <w:lang w:eastAsia="pl-PL"/>
      </w:rPr>
      <w:drawing>
        <wp:inline distT="0" distB="0" distL="0" distR="0" wp14:anchorId="38E031AF" wp14:editId="0BDED687">
          <wp:extent cx="5753100" cy="781050"/>
          <wp:effectExtent l="19050" t="0" r="0" b="0"/>
          <wp:docPr id="5" name="Obraz 5"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srcRect/>
                  <a:stretch>
                    <a:fillRect/>
                  </a:stretch>
                </pic:blipFill>
                <pic:spPr bwMode="auto">
                  <a:xfrm>
                    <a:off x="0" y="0"/>
                    <a:ext cx="5753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5EA"/>
    <w:multiLevelType w:val="hybridMultilevel"/>
    <w:tmpl w:val="D0AA838A"/>
    <w:lvl w:ilvl="0" w:tplc="0D667AF6">
      <w:start w:val="1"/>
      <w:numFmt w:val="decimal"/>
      <w:lvlText w:val="4.6.1.%1"/>
      <w:lvlJc w:val="left"/>
      <w:pPr>
        <w:ind w:left="1495" w:hanging="360"/>
      </w:pPr>
      <w:rPr>
        <w:rFonts w:hint="default"/>
        <w:b w:val="0"/>
        <w:sz w:val="22"/>
        <w:szCs w:val="24"/>
      </w:rPr>
    </w:lvl>
    <w:lvl w:ilvl="1" w:tplc="04150011">
      <w:start w:val="1"/>
      <w:numFmt w:val="decimal"/>
      <w:lvlText w:val="%2)"/>
      <w:lvlJc w:val="left"/>
      <w:pPr>
        <w:ind w:left="2050" w:hanging="555"/>
      </w:pPr>
      <w:rPr>
        <w:rFonts w:hint="default"/>
      </w:rPr>
    </w:lvl>
    <w:lvl w:ilvl="2" w:tplc="0415001B">
      <w:start w:val="1"/>
      <w:numFmt w:val="lowerRoman"/>
      <w:lvlText w:val="%3."/>
      <w:lvlJc w:val="right"/>
      <w:pPr>
        <w:ind w:left="2575" w:hanging="180"/>
      </w:pPr>
    </w:lvl>
    <w:lvl w:ilvl="3" w:tplc="0415000F">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1">
    <w:nsid w:val="03050FF3"/>
    <w:multiLevelType w:val="hybridMultilevel"/>
    <w:tmpl w:val="39D0497A"/>
    <w:lvl w:ilvl="0" w:tplc="772EB3A6">
      <w:start w:val="1"/>
      <w:numFmt w:val="decimal"/>
      <w:lvlText w:val="2.%1"/>
      <w:lvlJc w:val="left"/>
      <w:pPr>
        <w:tabs>
          <w:tab w:val="num" w:pos="786"/>
        </w:tabs>
        <w:ind w:left="786" w:hanging="360"/>
      </w:pPr>
      <w:rPr>
        <w:rFonts w:hint="default"/>
      </w:rPr>
    </w:lvl>
    <w:lvl w:ilvl="1" w:tplc="F282E88E">
      <w:start w:val="1"/>
      <w:numFmt w:val="decimal"/>
      <w:lvlText w:val="2.23.%2"/>
      <w:lvlJc w:val="left"/>
      <w:pPr>
        <w:tabs>
          <w:tab w:val="num" w:pos="1070"/>
        </w:tabs>
        <w:ind w:left="1070" w:hanging="360"/>
      </w:pPr>
      <w:rPr>
        <w:rFonts w:hint="default"/>
        <w:b w:val="0"/>
        <w:sz w:val="22"/>
        <w:szCs w:val="24"/>
      </w:rPr>
    </w:lvl>
    <w:lvl w:ilvl="2" w:tplc="574C5806">
      <w:start w:val="1"/>
      <w:numFmt w:val="bullet"/>
      <w:lvlText w:val="–"/>
      <w:lvlJc w:val="left"/>
      <w:pPr>
        <w:tabs>
          <w:tab w:val="num" w:pos="2340"/>
        </w:tabs>
        <w:ind w:left="2340" w:hanging="720"/>
      </w:pPr>
      <w:rPr>
        <w:rFonts w:ascii="Times New Roman" w:hAnsi="Times New Roman" w:cs="Times New Roman" w:hint="default"/>
        <w:b/>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5AD7541"/>
    <w:multiLevelType w:val="hybridMultilevel"/>
    <w:tmpl w:val="046E6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8B20C3"/>
    <w:multiLevelType w:val="hybridMultilevel"/>
    <w:tmpl w:val="3E3A80D0"/>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B044EC"/>
    <w:multiLevelType w:val="hybridMultilevel"/>
    <w:tmpl w:val="C8FAB5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C5C4A86"/>
    <w:multiLevelType w:val="hybridMultilevel"/>
    <w:tmpl w:val="63C01D7A"/>
    <w:lvl w:ilvl="0" w:tplc="772EB3A6">
      <w:start w:val="1"/>
      <w:numFmt w:val="decimal"/>
      <w:lvlText w:val="2.%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6">
    <w:nsid w:val="12632642"/>
    <w:multiLevelType w:val="hybridMultilevel"/>
    <w:tmpl w:val="467EE572"/>
    <w:lvl w:ilvl="0" w:tplc="B81829C2">
      <w:start w:val="1"/>
      <w:numFmt w:val="decimal"/>
      <w:lvlText w:val="2.4.%1"/>
      <w:lvlJc w:val="left"/>
      <w:pPr>
        <w:ind w:left="4216" w:hanging="360"/>
      </w:pPr>
      <w:rPr>
        <w:rFonts w:hint="default"/>
        <w:b w:val="0"/>
      </w:rPr>
    </w:lvl>
    <w:lvl w:ilvl="1" w:tplc="04150003">
      <w:start w:val="1"/>
      <w:numFmt w:val="bullet"/>
      <w:lvlText w:val="o"/>
      <w:lvlJc w:val="left"/>
      <w:pPr>
        <w:ind w:left="4936" w:hanging="360"/>
      </w:pPr>
      <w:rPr>
        <w:rFonts w:ascii="Courier New" w:hAnsi="Courier New" w:cs="Courier New" w:hint="default"/>
      </w:rPr>
    </w:lvl>
    <w:lvl w:ilvl="2" w:tplc="04150005" w:tentative="1">
      <w:start w:val="1"/>
      <w:numFmt w:val="bullet"/>
      <w:lvlText w:val=""/>
      <w:lvlJc w:val="left"/>
      <w:pPr>
        <w:ind w:left="5656" w:hanging="360"/>
      </w:pPr>
      <w:rPr>
        <w:rFonts w:ascii="Wingdings" w:hAnsi="Wingdings" w:hint="default"/>
      </w:rPr>
    </w:lvl>
    <w:lvl w:ilvl="3" w:tplc="04150001" w:tentative="1">
      <w:start w:val="1"/>
      <w:numFmt w:val="bullet"/>
      <w:lvlText w:val=""/>
      <w:lvlJc w:val="left"/>
      <w:pPr>
        <w:ind w:left="6376" w:hanging="360"/>
      </w:pPr>
      <w:rPr>
        <w:rFonts w:ascii="Symbol" w:hAnsi="Symbol" w:hint="default"/>
      </w:rPr>
    </w:lvl>
    <w:lvl w:ilvl="4" w:tplc="04150003" w:tentative="1">
      <w:start w:val="1"/>
      <w:numFmt w:val="bullet"/>
      <w:lvlText w:val="o"/>
      <w:lvlJc w:val="left"/>
      <w:pPr>
        <w:ind w:left="7096" w:hanging="360"/>
      </w:pPr>
      <w:rPr>
        <w:rFonts w:ascii="Courier New" w:hAnsi="Courier New" w:cs="Courier New" w:hint="default"/>
      </w:rPr>
    </w:lvl>
    <w:lvl w:ilvl="5" w:tplc="04150005" w:tentative="1">
      <w:start w:val="1"/>
      <w:numFmt w:val="bullet"/>
      <w:lvlText w:val=""/>
      <w:lvlJc w:val="left"/>
      <w:pPr>
        <w:ind w:left="7816" w:hanging="360"/>
      </w:pPr>
      <w:rPr>
        <w:rFonts w:ascii="Wingdings" w:hAnsi="Wingdings" w:hint="default"/>
      </w:rPr>
    </w:lvl>
    <w:lvl w:ilvl="6" w:tplc="04150001" w:tentative="1">
      <w:start w:val="1"/>
      <w:numFmt w:val="bullet"/>
      <w:lvlText w:val=""/>
      <w:lvlJc w:val="left"/>
      <w:pPr>
        <w:ind w:left="8536" w:hanging="360"/>
      </w:pPr>
      <w:rPr>
        <w:rFonts w:ascii="Symbol" w:hAnsi="Symbol" w:hint="default"/>
      </w:rPr>
    </w:lvl>
    <w:lvl w:ilvl="7" w:tplc="04150003" w:tentative="1">
      <w:start w:val="1"/>
      <w:numFmt w:val="bullet"/>
      <w:lvlText w:val="o"/>
      <w:lvlJc w:val="left"/>
      <w:pPr>
        <w:ind w:left="9256" w:hanging="360"/>
      </w:pPr>
      <w:rPr>
        <w:rFonts w:ascii="Courier New" w:hAnsi="Courier New" w:cs="Courier New" w:hint="default"/>
      </w:rPr>
    </w:lvl>
    <w:lvl w:ilvl="8" w:tplc="04150005" w:tentative="1">
      <w:start w:val="1"/>
      <w:numFmt w:val="bullet"/>
      <w:lvlText w:val=""/>
      <w:lvlJc w:val="left"/>
      <w:pPr>
        <w:ind w:left="9976" w:hanging="360"/>
      </w:pPr>
      <w:rPr>
        <w:rFonts w:ascii="Wingdings" w:hAnsi="Wingdings" w:hint="default"/>
      </w:rPr>
    </w:lvl>
  </w:abstractNum>
  <w:abstractNum w:abstractNumId="7">
    <w:nsid w:val="13F54A66"/>
    <w:multiLevelType w:val="hybridMultilevel"/>
    <w:tmpl w:val="BE66C3A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426051"/>
    <w:multiLevelType w:val="hybridMultilevel"/>
    <w:tmpl w:val="9F645844"/>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ind w:left="21" w:hanging="360"/>
      </w:pPr>
    </w:lvl>
    <w:lvl w:ilvl="2" w:tplc="0415001B">
      <w:start w:val="1"/>
      <w:numFmt w:val="lowerRoman"/>
      <w:lvlText w:val="%3."/>
      <w:lvlJc w:val="right"/>
      <w:pPr>
        <w:ind w:left="741" w:hanging="180"/>
      </w:pPr>
    </w:lvl>
    <w:lvl w:ilvl="3" w:tplc="0415000F" w:tentative="1">
      <w:start w:val="1"/>
      <w:numFmt w:val="decimal"/>
      <w:lvlText w:val="%4."/>
      <w:lvlJc w:val="left"/>
      <w:pPr>
        <w:ind w:left="1461" w:hanging="360"/>
      </w:pPr>
    </w:lvl>
    <w:lvl w:ilvl="4" w:tplc="04150019" w:tentative="1">
      <w:start w:val="1"/>
      <w:numFmt w:val="lowerLetter"/>
      <w:lvlText w:val="%5."/>
      <w:lvlJc w:val="left"/>
      <w:pPr>
        <w:ind w:left="2181" w:hanging="360"/>
      </w:pPr>
    </w:lvl>
    <w:lvl w:ilvl="5" w:tplc="0415001B" w:tentative="1">
      <w:start w:val="1"/>
      <w:numFmt w:val="lowerRoman"/>
      <w:lvlText w:val="%6."/>
      <w:lvlJc w:val="right"/>
      <w:pPr>
        <w:ind w:left="2901" w:hanging="180"/>
      </w:pPr>
    </w:lvl>
    <w:lvl w:ilvl="6" w:tplc="0415000F" w:tentative="1">
      <w:start w:val="1"/>
      <w:numFmt w:val="decimal"/>
      <w:lvlText w:val="%7."/>
      <w:lvlJc w:val="left"/>
      <w:pPr>
        <w:ind w:left="3621" w:hanging="360"/>
      </w:pPr>
    </w:lvl>
    <w:lvl w:ilvl="7" w:tplc="04150019" w:tentative="1">
      <w:start w:val="1"/>
      <w:numFmt w:val="lowerLetter"/>
      <w:lvlText w:val="%8."/>
      <w:lvlJc w:val="left"/>
      <w:pPr>
        <w:ind w:left="4341" w:hanging="360"/>
      </w:pPr>
    </w:lvl>
    <w:lvl w:ilvl="8" w:tplc="0415001B" w:tentative="1">
      <w:start w:val="1"/>
      <w:numFmt w:val="lowerRoman"/>
      <w:lvlText w:val="%9."/>
      <w:lvlJc w:val="right"/>
      <w:pPr>
        <w:ind w:left="5061" w:hanging="180"/>
      </w:pPr>
    </w:lvl>
  </w:abstractNum>
  <w:abstractNum w:abstractNumId="9">
    <w:nsid w:val="1DED3886"/>
    <w:multiLevelType w:val="hybridMultilevel"/>
    <w:tmpl w:val="23CA43E4"/>
    <w:lvl w:ilvl="0" w:tplc="289AEB4A">
      <w:start w:val="1"/>
      <w:numFmt w:val="decimal"/>
      <w:lvlText w:val="4.7.%1"/>
      <w:lvlJc w:val="left"/>
      <w:pPr>
        <w:tabs>
          <w:tab w:val="num" w:pos="-984"/>
        </w:tabs>
        <w:ind w:left="-984" w:hanging="360"/>
      </w:pPr>
      <w:rPr>
        <w:rFonts w:hint="default"/>
        <w:i w:val="0"/>
      </w:rPr>
    </w:lvl>
    <w:lvl w:ilvl="1" w:tplc="04150001">
      <w:start w:val="1"/>
      <w:numFmt w:val="bullet"/>
      <w:lvlText w:val=""/>
      <w:lvlJc w:val="left"/>
      <w:pPr>
        <w:tabs>
          <w:tab w:val="num" w:pos="-264"/>
        </w:tabs>
        <w:ind w:left="-264" w:hanging="360"/>
      </w:pPr>
      <w:rPr>
        <w:rFonts w:ascii="Symbol" w:hAnsi="Symbol" w:hint="default"/>
      </w:rPr>
    </w:lvl>
    <w:lvl w:ilvl="2" w:tplc="0415000F">
      <w:start w:val="1"/>
      <w:numFmt w:val="bullet"/>
      <w:lvlText w:val=""/>
      <w:lvlJc w:val="left"/>
      <w:pPr>
        <w:tabs>
          <w:tab w:val="num" w:pos="456"/>
        </w:tabs>
        <w:ind w:left="456" w:hanging="360"/>
      </w:pPr>
      <w:rPr>
        <w:rFonts w:ascii="Symbol" w:hAnsi="Symbol" w:hint="default"/>
      </w:rPr>
    </w:lvl>
    <w:lvl w:ilvl="3" w:tplc="04150001">
      <w:start w:val="1"/>
      <w:numFmt w:val="bullet"/>
      <w:lvlText w:val=""/>
      <w:lvlJc w:val="left"/>
      <w:pPr>
        <w:tabs>
          <w:tab w:val="num" w:pos="1176"/>
        </w:tabs>
        <w:ind w:left="1176" w:hanging="360"/>
      </w:pPr>
      <w:rPr>
        <w:rFonts w:ascii="Symbol" w:hAnsi="Symbol" w:hint="default"/>
      </w:rPr>
    </w:lvl>
    <w:lvl w:ilvl="4" w:tplc="04150003" w:tentative="1">
      <w:start w:val="1"/>
      <w:numFmt w:val="bullet"/>
      <w:lvlText w:val="o"/>
      <w:lvlJc w:val="left"/>
      <w:pPr>
        <w:tabs>
          <w:tab w:val="num" w:pos="1896"/>
        </w:tabs>
        <w:ind w:left="1896" w:hanging="360"/>
      </w:pPr>
      <w:rPr>
        <w:rFonts w:ascii="Courier New" w:hAnsi="Courier New" w:hint="default"/>
      </w:rPr>
    </w:lvl>
    <w:lvl w:ilvl="5" w:tplc="04150005" w:tentative="1">
      <w:start w:val="1"/>
      <w:numFmt w:val="bullet"/>
      <w:lvlText w:val=""/>
      <w:lvlJc w:val="left"/>
      <w:pPr>
        <w:tabs>
          <w:tab w:val="num" w:pos="2616"/>
        </w:tabs>
        <w:ind w:left="2616" w:hanging="360"/>
      </w:pPr>
      <w:rPr>
        <w:rFonts w:ascii="Wingdings" w:hAnsi="Wingdings" w:hint="default"/>
      </w:rPr>
    </w:lvl>
    <w:lvl w:ilvl="6" w:tplc="04150001" w:tentative="1">
      <w:start w:val="1"/>
      <w:numFmt w:val="bullet"/>
      <w:lvlText w:val=""/>
      <w:lvlJc w:val="left"/>
      <w:pPr>
        <w:tabs>
          <w:tab w:val="num" w:pos="3336"/>
        </w:tabs>
        <w:ind w:left="3336" w:hanging="360"/>
      </w:pPr>
      <w:rPr>
        <w:rFonts w:ascii="Symbol" w:hAnsi="Symbol" w:hint="default"/>
      </w:rPr>
    </w:lvl>
    <w:lvl w:ilvl="7" w:tplc="04150003" w:tentative="1">
      <w:start w:val="1"/>
      <w:numFmt w:val="bullet"/>
      <w:lvlText w:val="o"/>
      <w:lvlJc w:val="left"/>
      <w:pPr>
        <w:tabs>
          <w:tab w:val="num" w:pos="4056"/>
        </w:tabs>
        <w:ind w:left="4056" w:hanging="360"/>
      </w:pPr>
      <w:rPr>
        <w:rFonts w:ascii="Courier New" w:hAnsi="Courier New" w:hint="default"/>
      </w:rPr>
    </w:lvl>
    <w:lvl w:ilvl="8" w:tplc="04150005" w:tentative="1">
      <w:start w:val="1"/>
      <w:numFmt w:val="bullet"/>
      <w:lvlText w:val=""/>
      <w:lvlJc w:val="left"/>
      <w:pPr>
        <w:tabs>
          <w:tab w:val="num" w:pos="4776"/>
        </w:tabs>
        <w:ind w:left="4776" w:hanging="360"/>
      </w:pPr>
      <w:rPr>
        <w:rFonts w:ascii="Wingdings" w:hAnsi="Wingdings" w:hint="default"/>
      </w:rPr>
    </w:lvl>
  </w:abstractNum>
  <w:abstractNum w:abstractNumId="10">
    <w:nsid w:val="202D1328"/>
    <w:multiLevelType w:val="hybridMultilevel"/>
    <w:tmpl w:val="52B2081A"/>
    <w:lvl w:ilvl="0" w:tplc="04150011">
      <w:start w:val="1"/>
      <w:numFmt w:val="decimal"/>
      <w:lvlText w:val="%1)"/>
      <w:lvlJc w:val="left"/>
      <w:pPr>
        <w:tabs>
          <w:tab w:val="num" w:pos="360"/>
        </w:tabs>
        <w:ind w:left="360" w:hanging="360"/>
      </w:pPr>
      <w:rPr>
        <w:rFonts w:hint="default"/>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11">
    <w:nsid w:val="24B323AF"/>
    <w:multiLevelType w:val="hybridMultilevel"/>
    <w:tmpl w:val="9086D128"/>
    <w:lvl w:ilvl="0" w:tplc="04150017">
      <w:start w:val="1"/>
      <w:numFmt w:val="lowerLetter"/>
      <w:lvlText w:val="%1)"/>
      <w:lvlJc w:val="left"/>
      <w:pPr>
        <w:tabs>
          <w:tab w:val="num" w:pos="360"/>
        </w:tabs>
        <w:ind w:left="360" w:hanging="360"/>
      </w:pPr>
    </w:lvl>
    <w:lvl w:ilvl="1" w:tplc="190EAEC0">
      <w:start w:val="1"/>
      <w:numFmt w:val="decimal"/>
      <w:lvlText w:val="2.34.%2"/>
      <w:lvlJc w:val="left"/>
      <w:pPr>
        <w:tabs>
          <w:tab w:val="num" w:pos="1080"/>
        </w:tabs>
        <w:ind w:left="1080" w:hanging="360"/>
      </w:pPr>
      <w:rPr>
        <w:rFonts w:hint="default"/>
        <w:b w:val="0"/>
      </w:rPr>
    </w:lvl>
    <w:lvl w:ilvl="2" w:tplc="A5F079DE">
      <w:start w:val="1"/>
      <w:numFmt w:val="upperRoman"/>
      <w:lvlText w:val="%3."/>
      <w:lvlJc w:val="left"/>
      <w:pPr>
        <w:tabs>
          <w:tab w:val="num" w:pos="2340"/>
        </w:tabs>
        <w:ind w:left="2340" w:hanging="72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253D5B1B"/>
    <w:multiLevelType w:val="hybridMultilevel"/>
    <w:tmpl w:val="B9E8B1B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b w:val="0"/>
      </w:rPr>
    </w:lvl>
    <w:lvl w:ilvl="2" w:tplc="A5F079DE">
      <w:start w:val="1"/>
      <w:numFmt w:val="upperRoman"/>
      <w:lvlText w:val="%3."/>
      <w:lvlJc w:val="left"/>
      <w:pPr>
        <w:tabs>
          <w:tab w:val="num" w:pos="2700"/>
        </w:tabs>
        <w:ind w:left="2700" w:hanging="72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89B69AD"/>
    <w:multiLevelType w:val="multilevel"/>
    <w:tmpl w:val="DECE39BE"/>
    <w:lvl w:ilvl="0">
      <w:start w:val="1"/>
      <w:numFmt w:val="decimal"/>
      <w:lvlText w:val="%1."/>
      <w:lvlJc w:val="left"/>
      <w:pPr>
        <w:ind w:left="360" w:hanging="360"/>
      </w:pPr>
      <w:rPr>
        <w:rFonts w:ascii="Calibri" w:hAnsi="Calibri" w:hint="default"/>
        <w:b/>
      </w:rPr>
    </w:lvl>
    <w:lvl w:ilvl="1">
      <w:start w:val="25"/>
      <w:numFmt w:val="decimal"/>
      <w:isLgl/>
      <w:lvlText w:val="%1.%2"/>
      <w:lvlJc w:val="left"/>
      <w:pPr>
        <w:ind w:left="1132" w:hanging="705"/>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4856" w:hanging="1440"/>
      </w:pPr>
      <w:rPr>
        <w:rFonts w:hint="default"/>
      </w:rPr>
    </w:lvl>
  </w:abstractNum>
  <w:abstractNum w:abstractNumId="14">
    <w:nsid w:val="2C777BC1"/>
    <w:multiLevelType w:val="hybridMultilevel"/>
    <w:tmpl w:val="12C69C16"/>
    <w:lvl w:ilvl="0" w:tplc="3C3E927C">
      <w:start w:val="1"/>
      <w:numFmt w:val="decimal"/>
      <w:lvlText w:val="3.%1"/>
      <w:lvlJc w:val="left"/>
      <w:pPr>
        <w:tabs>
          <w:tab w:val="num" w:pos="644"/>
        </w:tabs>
        <w:ind w:left="644" w:hanging="360"/>
      </w:pPr>
      <w:rPr>
        <w:rFonts w:hint="default"/>
      </w:rPr>
    </w:lvl>
    <w:lvl w:ilvl="1" w:tplc="04150019">
      <w:start w:val="1"/>
      <w:numFmt w:val="lowerLetter"/>
      <w:lvlText w:val="%2."/>
      <w:lvlJc w:val="left"/>
      <w:pPr>
        <w:ind w:left="305" w:hanging="360"/>
      </w:pPr>
    </w:lvl>
    <w:lvl w:ilvl="2" w:tplc="0415001B">
      <w:start w:val="1"/>
      <w:numFmt w:val="lowerRoman"/>
      <w:lvlText w:val="%3."/>
      <w:lvlJc w:val="right"/>
      <w:pPr>
        <w:ind w:left="1025" w:hanging="180"/>
      </w:pPr>
    </w:lvl>
    <w:lvl w:ilvl="3" w:tplc="0415000F" w:tentative="1">
      <w:start w:val="1"/>
      <w:numFmt w:val="decimal"/>
      <w:lvlText w:val="%4."/>
      <w:lvlJc w:val="left"/>
      <w:pPr>
        <w:ind w:left="1745" w:hanging="360"/>
      </w:pPr>
    </w:lvl>
    <w:lvl w:ilvl="4" w:tplc="04150019" w:tentative="1">
      <w:start w:val="1"/>
      <w:numFmt w:val="lowerLetter"/>
      <w:lvlText w:val="%5."/>
      <w:lvlJc w:val="left"/>
      <w:pPr>
        <w:ind w:left="2465" w:hanging="360"/>
      </w:pPr>
    </w:lvl>
    <w:lvl w:ilvl="5" w:tplc="0415001B" w:tentative="1">
      <w:start w:val="1"/>
      <w:numFmt w:val="lowerRoman"/>
      <w:lvlText w:val="%6."/>
      <w:lvlJc w:val="right"/>
      <w:pPr>
        <w:ind w:left="3185" w:hanging="180"/>
      </w:pPr>
    </w:lvl>
    <w:lvl w:ilvl="6" w:tplc="0415000F" w:tentative="1">
      <w:start w:val="1"/>
      <w:numFmt w:val="decimal"/>
      <w:lvlText w:val="%7."/>
      <w:lvlJc w:val="left"/>
      <w:pPr>
        <w:ind w:left="3905" w:hanging="360"/>
      </w:pPr>
    </w:lvl>
    <w:lvl w:ilvl="7" w:tplc="04150019" w:tentative="1">
      <w:start w:val="1"/>
      <w:numFmt w:val="lowerLetter"/>
      <w:lvlText w:val="%8."/>
      <w:lvlJc w:val="left"/>
      <w:pPr>
        <w:ind w:left="4625" w:hanging="360"/>
      </w:pPr>
    </w:lvl>
    <w:lvl w:ilvl="8" w:tplc="0415001B" w:tentative="1">
      <w:start w:val="1"/>
      <w:numFmt w:val="lowerRoman"/>
      <w:lvlText w:val="%9."/>
      <w:lvlJc w:val="right"/>
      <w:pPr>
        <w:ind w:left="5345" w:hanging="180"/>
      </w:pPr>
    </w:lvl>
  </w:abstractNum>
  <w:abstractNum w:abstractNumId="15">
    <w:nsid w:val="2DEA2FCE"/>
    <w:multiLevelType w:val="hybridMultilevel"/>
    <w:tmpl w:val="3B8CBF8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7">
      <w:start w:val="1"/>
      <w:numFmt w:val="low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16">
    <w:nsid w:val="41547419"/>
    <w:multiLevelType w:val="hybridMultilevel"/>
    <w:tmpl w:val="0A2E01CC"/>
    <w:lvl w:ilvl="0" w:tplc="04150017">
      <w:start w:val="1"/>
      <w:numFmt w:val="lowerLetter"/>
      <w:lvlText w:val="%1)"/>
      <w:lvlJc w:val="left"/>
      <w:pPr>
        <w:ind w:left="360" w:hanging="360"/>
      </w:pPr>
      <w:rPr>
        <w:rFonts w:hint="default"/>
        <w:b w:val="0"/>
      </w:rPr>
    </w:lvl>
    <w:lvl w:ilvl="1" w:tplc="27D0B5A4">
      <w:start w:val="1"/>
      <w:numFmt w:val="decimal"/>
      <w:lvlText w:val="4.6.%2"/>
      <w:lvlJc w:val="left"/>
      <w:pPr>
        <w:ind w:left="915" w:hanging="555"/>
      </w:pPr>
      <w:rPr>
        <w:rFonts w:hint="default"/>
        <w:b w:val="0"/>
      </w:r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nsid w:val="4697633D"/>
    <w:multiLevelType w:val="hybridMultilevel"/>
    <w:tmpl w:val="467424B0"/>
    <w:lvl w:ilvl="0" w:tplc="3EFEE37A">
      <w:start w:val="1"/>
      <w:numFmt w:val="decimal"/>
      <w:lvlText w:val="2.5.%1"/>
      <w:lvlJc w:val="left"/>
      <w:pPr>
        <w:ind w:left="1211" w:hanging="360"/>
      </w:pPr>
      <w:rPr>
        <w:rFonts w:hint="default"/>
        <w:b w:val="0"/>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nsid w:val="4CA5187D"/>
    <w:multiLevelType w:val="hybridMultilevel"/>
    <w:tmpl w:val="C29C7966"/>
    <w:lvl w:ilvl="0" w:tplc="671885D6">
      <w:start w:val="1"/>
      <w:numFmt w:val="decimal"/>
      <w:lvlText w:val="1.%1"/>
      <w:lvlJc w:val="left"/>
      <w:pPr>
        <w:tabs>
          <w:tab w:val="num" w:pos="1211"/>
        </w:tabs>
        <w:ind w:left="1211"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19">
    <w:nsid w:val="4D975A59"/>
    <w:multiLevelType w:val="hybridMultilevel"/>
    <w:tmpl w:val="B7CA5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382A24"/>
    <w:multiLevelType w:val="hybridMultilevel"/>
    <w:tmpl w:val="00A628CE"/>
    <w:lvl w:ilvl="0" w:tplc="B38465C8">
      <w:start w:val="1"/>
      <w:numFmt w:val="decimal"/>
      <w:lvlText w:val="5.%1"/>
      <w:lvlJc w:val="left"/>
      <w:pPr>
        <w:ind w:left="360" w:hanging="360"/>
      </w:pPr>
      <w:rPr>
        <w:rFonts w:asciiTheme="minorHAnsi" w:hAnsiTheme="minorHAnsi"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0F60B72"/>
    <w:multiLevelType w:val="hybridMultilevel"/>
    <w:tmpl w:val="97BE01E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BF826F34">
      <w:start w:val="1"/>
      <w:numFmt w:val="decimal"/>
      <w:lvlText w:val="3.12.%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2">
    <w:nsid w:val="62A056B9"/>
    <w:multiLevelType w:val="hybridMultilevel"/>
    <w:tmpl w:val="A3FEB8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7838A3"/>
    <w:multiLevelType w:val="hybridMultilevel"/>
    <w:tmpl w:val="788E5B38"/>
    <w:lvl w:ilvl="0" w:tplc="2EEC94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AB14DDD"/>
    <w:multiLevelType w:val="hybridMultilevel"/>
    <w:tmpl w:val="9E665C9E"/>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5">
      <w:start w:val="1"/>
      <w:numFmt w:val="upp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5">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4941892"/>
    <w:multiLevelType w:val="hybridMultilevel"/>
    <w:tmpl w:val="BC6E785E"/>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
  </w:num>
  <w:num w:numId="4">
    <w:abstractNumId w:val="6"/>
  </w:num>
  <w:num w:numId="5">
    <w:abstractNumId w:val="17"/>
  </w:num>
  <w:num w:numId="6">
    <w:abstractNumId w:val="11"/>
  </w:num>
  <w:num w:numId="7">
    <w:abstractNumId w:val="14"/>
  </w:num>
  <w:num w:numId="8">
    <w:abstractNumId w:val="21"/>
  </w:num>
  <w:num w:numId="9">
    <w:abstractNumId w:val="13"/>
  </w:num>
  <w:num w:numId="10">
    <w:abstractNumId w:val="23"/>
  </w:num>
  <w:num w:numId="11">
    <w:abstractNumId w:val="10"/>
  </w:num>
  <w:num w:numId="12">
    <w:abstractNumId w:val="3"/>
  </w:num>
  <w:num w:numId="13">
    <w:abstractNumId w:val="8"/>
  </w:num>
  <w:num w:numId="14">
    <w:abstractNumId w:val="15"/>
  </w:num>
  <w:num w:numId="15">
    <w:abstractNumId w:val="24"/>
  </w:num>
  <w:num w:numId="16">
    <w:abstractNumId w:val="4"/>
  </w:num>
  <w:num w:numId="17">
    <w:abstractNumId w:val="12"/>
  </w:num>
  <w:num w:numId="18">
    <w:abstractNumId w:val="22"/>
  </w:num>
  <w:num w:numId="19">
    <w:abstractNumId w:val="5"/>
  </w:num>
  <w:num w:numId="20">
    <w:abstractNumId w:val="2"/>
  </w:num>
  <w:num w:numId="21">
    <w:abstractNumId w:val="26"/>
  </w:num>
  <w:num w:numId="22">
    <w:abstractNumId w:val="16"/>
  </w:num>
  <w:num w:numId="23">
    <w:abstractNumId w:val="0"/>
  </w:num>
  <w:num w:numId="24">
    <w:abstractNumId w:val="19"/>
  </w:num>
  <w:num w:numId="25">
    <w:abstractNumId w:val="7"/>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83"/>
    <w:rsid w:val="000033F0"/>
    <w:rsid w:val="0003269D"/>
    <w:rsid w:val="0005465E"/>
    <w:rsid w:val="000609A1"/>
    <w:rsid w:val="00081192"/>
    <w:rsid w:val="001F2AE6"/>
    <w:rsid w:val="0039674C"/>
    <w:rsid w:val="0043097D"/>
    <w:rsid w:val="00440B16"/>
    <w:rsid w:val="006A249D"/>
    <w:rsid w:val="006C163E"/>
    <w:rsid w:val="006E5EE3"/>
    <w:rsid w:val="00703F6D"/>
    <w:rsid w:val="00817A56"/>
    <w:rsid w:val="009E3D07"/>
    <w:rsid w:val="009F069C"/>
    <w:rsid w:val="00A215FE"/>
    <w:rsid w:val="00A409CF"/>
    <w:rsid w:val="00A66C4D"/>
    <w:rsid w:val="00C1234D"/>
    <w:rsid w:val="00DD39AF"/>
    <w:rsid w:val="00DE3E40"/>
    <w:rsid w:val="00E1714B"/>
    <w:rsid w:val="00E2586C"/>
    <w:rsid w:val="00E878B9"/>
    <w:rsid w:val="00F91883"/>
    <w:rsid w:val="00FA1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1490</Words>
  <Characters>8942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Sybicki Łukasz</cp:lastModifiedBy>
  <cp:revision>7</cp:revision>
  <dcterms:created xsi:type="dcterms:W3CDTF">2015-09-17T11:52:00Z</dcterms:created>
  <dcterms:modified xsi:type="dcterms:W3CDTF">2015-09-22T12:08:00Z</dcterms:modified>
</cp:coreProperties>
</file>