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10E4" w14:textId="295E0EC0" w:rsidR="00E2586C" w:rsidRPr="00422491" w:rsidRDefault="00E2586C" w:rsidP="00E2586C">
      <w:pPr>
        <w:jc w:val="right"/>
        <w:rPr>
          <w:rFonts w:ascii="Calibri" w:hAnsi="Calibri"/>
          <w:i/>
          <w:sz w:val="18"/>
          <w:szCs w:val="18"/>
        </w:rPr>
      </w:pPr>
      <w:r w:rsidRPr="00422491">
        <w:rPr>
          <w:rFonts w:ascii="Calibri" w:hAnsi="Calibri"/>
          <w:i/>
          <w:sz w:val="18"/>
          <w:szCs w:val="18"/>
        </w:rPr>
        <w:t xml:space="preserve">Załącznik nr </w:t>
      </w:r>
      <w:r w:rsidR="00B00B70">
        <w:rPr>
          <w:rFonts w:ascii="Calibri" w:hAnsi="Calibri"/>
          <w:i/>
          <w:sz w:val="18"/>
          <w:szCs w:val="18"/>
        </w:rPr>
        <w:t>14</w:t>
      </w:r>
      <w:r w:rsidR="00B00B70" w:rsidRPr="00422491">
        <w:rPr>
          <w:rFonts w:ascii="Calibri" w:hAnsi="Calibri"/>
          <w:i/>
          <w:sz w:val="18"/>
          <w:szCs w:val="18"/>
        </w:rPr>
        <w:t xml:space="preserve"> </w:t>
      </w:r>
      <w:r w:rsidRPr="00422491">
        <w:rPr>
          <w:rFonts w:ascii="Calibri" w:hAnsi="Calibri"/>
          <w:i/>
          <w:sz w:val="18"/>
          <w:szCs w:val="18"/>
        </w:rPr>
        <w:t xml:space="preserve">do Regulaminu Konkursu </w:t>
      </w:r>
      <w:r w:rsidR="006E5EE3" w:rsidRPr="00422491">
        <w:rPr>
          <w:rFonts w:ascii="Calibri" w:hAnsi="Calibri"/>
          <w:i/>
          <w:sz w:val="18"/>
          <w:szCs w:val="18"/>
        </w:rPr>
        <w:t xml:space="preserve">– </w:t>
      </w:r>
      <w:r w:rsidR="00C1234D" w:rsidRPr="00422491">
        <w:rPr>
          <w:rFonts w:ascii="Calibri" w:hAnsi="Calibri"/>
          <w:i/>
          <w:sz w:val="18"/>
          <w:szCs w:val="18"/>
        </w:rPr>
        <w:t>Kryteria zatwierdzone przez Komitet Monitorujący POWER</w:t>
      </w:r>
    </w:p>
    <w:p w14:paraId="7178C4A1" w14:textId="77777777" w:rsidR="000033F0" w:rsidRPr="000033F0" w:rsidRDefault="000033F0" w:rsidP="000033F0">
      <w:pPr>
        <w:pStyle w:val="Akapitzlist"/>
        <w:ind w:left="360"/>
        <w:jc w:val="both"/>
        <w:rPr>
          <w:rFonts w:ascii="Calibri" w:hAnsi="Calibri"/>
          <w:b/>
        </w:rPr>
      </w:pPr>
    </w:p>
    <w:p w14:paraId="411C5178" w14:textId="77777777" w:rsidR="000033F0" w:rsidRPr="000033F0" w:rsidRDefault="000033F0" w:rsidP="000033F0">
      <w:pPr>
        <w:pStyle w:val="Akapitzlist"/>
        <w:ind w:left="360"/>
        <w:jc w:val="center"/>
        <w:rPr>
          <w:rFonts w:ascii="Calibri" w:hAnsi="Calibri"/>
          <w:b/>
          <w:sz w:val="28"/>
          <w:szCs w:val="28"/>
        </w:rPr>
      </w:pPr>
      <w:r w:rsidRPr="000033F0">
        <w:rPr>
          <w:rFonts w:ascii="Calibri" w:hAnsi="Calibri"/>
          <w:b/>
          <w:sz w:val="28"/>
          <w:szCs w:val="28"/>
        </w:rPr>
        <w:t>Kryteria zatwierdzone przez Komitet Monitorujący POWER</w:t>
      </w:r>
    </w:p>
    <w:p w14:paraId="766E4188" w14:textId="3D74A53D" w:rsidR="000033F0" w:rsidRPr="000033F0" w:rsidRDefault="000033F0" w:rsidP="000033F0">
      <w:pPr>
        <w:jc w:val="both"/>
        <w:rPr>
          <w:rFonts w:ascii="Calibri" w:hAnsi="Calibri"/>
          <w:b/>
          <w:sz w:val="24"/>
          <w:szCs w:val="24"/>
        </w:rPr>
      </w:pPr>
    </w:p>
    <w:p w14:paraId="7ED4EF8B" w14:textId="77777777" w:rsidR="000609A1" w:rsidRPr="000033F0" w:rsidRDefault="000609A1" w:rsidP="000609A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0033F0">
        <w:rPr>
          <w:rFonts w:ascii="Calibri" w:hAnsi="Calibri"/>
          <w:b/>
        </w:rPr>
        <w:t>Kryteria dostępu</w:t>
      </w:r>
      <w:r w:rsidR="00C1234D" w:rsidRPr="000033F0">
        <w:rPr>
          <w:rFonts w:ascii="Calibri" w:hAnsi="Calibri"/>
          <w:b/>
        </w:rPr>
        <w:t xml:space="preserve"> weryfikowane na etapie oceny formalnej i merytorycznej </w:t>
      </w:r>
    </w:p>
    <w:p w14:paraId="49F6B27D" w14:textId="77777777" w:rsidR="000609A1" w:rsidRPr="000033F0" w:rsidRDefault="000609A1" w:rsidP="00A66C4D">
      <w:pPr>
        <w:jc w:val="both"/>
        <w:rPr>
          <w:rFonts w:ascii="Calibri" w:eastAsia="Times New Roman" w:hAnsi="Calibri"/>
          <w:i/>
          <w:kern w:val="2"/>
          <w:sz w:val="20"/>
          <w:szCs w:val="20"/>
          <w:lang w:eastAsia="pl-PL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</w:tblGrid>
      <w:tr w:rsidR="000609A1" w:rsidRPr="000033F0" w14:paraId="60BEE12F" w14:textId="77777777" w:rsidTr="000033F0">
        <w:trPr>
          <w:trHeight w:val="561"/>
        </w:trPr>
        <w:tc>
          <w:tcPr>
            <w:tcW w:w="567" w:type="dxa"/>
            <w:shd w:val="clear" w:color="auto" w:fill="auto"/>
            <w:vAlign w:val="center"/>
          </w:tcPr>
          <w:p w14:paraId="182A3D27" w14:textId="77777777" w:rsidR="000609A1" w:rsidRPr="000033F0" w:rsidRDefault="000609A1" w:rsidP="00895AC9">
            <w:pPr>
              <w:spacing w:after="0"/>
              <w:jc w:val="center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Lp.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8CF8B" w14:textId="77777777" w:rsidR="000609A1" w:rsidRPr="000033F0" w:rsidRDefault="000609A1" w:rsidP="00895AC9">
            <w:pPr>
              <w:spacing w:after="0"/>
              <w:jc w:val="center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Kryteria </w:t>
            </w:r>
            <w:r w:rsidRPr="000033F0">
              <w:rPr>
                <w:rFonts w:ascii="Calibri" w:eastAsia="Calibri" w:hAnsi="Calibri" w:cs="Calibri"/>
                <w:i/>
                <w:sz w:val="20"/>
                <w:szCs w:val="20"/>
              </w:rPr>
              <w:t>dostępu weryfikowane na etapie oceny formalnej</w:t>
            </w:r>
          </w:p>
        </w:tc>
      </w:tr>
      <w:tr w:rsidR="000609A1" w:rsidRPr="000033F0" w14:paraId="093533D0" w14:textId="77777777" w:rsidTr="000033F0">
        <w:tc>
          <w:tcPr>
            <w:tcW w:w="567" w:type="dxa"/>
            <w:shd w:val="clear" w:color="auto" w:fill="auto"/>
            <w:vAlign w:val="center"/>
          </w:tcPr>
          <w:p w14:paraId="15D1B22D" w14:textId="77777777" w:rsidR="000609A1" w:rsidRPr="000033F0" w:rsidRDefault="000609A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sz w:val="20"/>
                <w:szCs w:val="20"/>
              </w:rPr>
              <w:t>1.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14B1D" w14:textId="4AD0F2CA" w:rsidR="000D1F29" w:rsidRP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łącznie z partnerami (jeżeli dotyczy) posiada udokumentowan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e doświadczenie w realizacji, w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okresie 3 lat przed terminem złożenia wniosku o dofinansowanie, co najmniej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5 projektów lub usług o łącznej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wartości 50 tys. złotych brutto, w ramach których realizowane były szkolenia lub doradztwo dla</w:t>
            </w:r>
          </w:p>
          <w:p w14:paraId="3E7A7E93" w14:textId="4C46C066" w:rsid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przedsiębiorców z zakresu ust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awy Prawo zamówień publicznych.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przypadku projektów partnerskich, każdy z partnerów (za partnera w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projekcie uważany jest również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Wnioskodawca) musi posiadać udokumentowane doświadczenie w realiza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cji co najmniej 2 projektów lub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usług o łącznej wartości 5 tys. złotych brutto, z zastrzeżeniem, że w co 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ajmniej 1 projekcie lub usłudze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realizowane były szkolenia dla przedsiębiorców z zakresu ustawy Prawo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zamówień publicznych oraz w co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najmniej 1 projekcie lub usłudze realizowane były usługi doradcze dla 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rzedsiębiorców z zakresu ustawy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Prawo zamówień publicznych.</w:t>
            </w:r>
          </w:p>
          <w:p w14:paraId="514FF879" w14:textId="0B8989CE" w:rsidR="000D1F29" w:rsidRDefault="00C31764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</w:t>
            </w:r>
          </w:p>
          <w:p w14:paraId="76814F01" w14:textId="2DB723F8" w:rsidR="000D1F29" w:rsidRP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przypadku, gdy Wnioskodawca samodzielnie ubiega się o dofinansowanie zobowiązany jest wykaza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ć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doświadczenie w realizacji co najmniej 5 projektów lub usług o łącznej war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tości 50 tys. złotych brutto, w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ramach których realizowane były szkolenia lub doradztwa dla przedsiębiorców z zakresu ustawy Prawo</w:t>
            </w:r>
          </w:p>
          <w:p w14:paraId="03FC179F" w14:textId="55553E95" w:rsid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zamówień publicznych z zastrzeżeniem, iż co najmniej 1 projekt lub usługa dot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yczyła realizacji doradztwa dla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przedsiębiorców z zakresu ustawy Prawo zamówień publicznych.</w:t>
            </w:r>
          </w:p>
          <w:p w14:paraId="153C31E1" w14:textId="77777777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12272CBC" w14:textId="77777777" w:rsidR="00E52091" w:rsidRPr="00B12DFF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oceniane na podstawie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złożonego wraz z wnioskiem o dofinansowanie oświadczenia zawierającego wykaz zrealizowanych projektów/usług szkoleniowych lub doradczych wg wzoru stanowiącego Załącznik nr 10 do Regulaminu, podpisanego przez osoby upoważnione do reprezentowania odpowiednio Wnioskodawcy lub Partnerów (jeśli dotyczy). </w:t>
            </w:r>
          </w:p>
          <w:p w14:paraId="2426160A" w14:textId="3CF97D34" w:rsidR="00E52091" w:rsidRPr="00B12DFF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Do oświadczenia należy załączyć dokumenty potwierdzające wartość projektów/usług, terminy realizacji, zakres tematyczny, a także dokumenty potwierdzające, że wykazane projekty/usługi zostały faktycznie zrealizowane oraz, że dotyczyły szkoleń lub doradztwa dla przedsiębiorców z obszaru prawa zamówień publicznych (np. referencje, opinie, listy obecności uczestników, umowy dotyczące realizacji projektów, usług itp.). Projekt niespełniający tego kryterium otrzyma negatywną ocenę. </w:t>
            </w:r>
          </w:p>
          <w:p w14:paraId="4152312C" w14:textId="2FFF949F" w:rsidR="000609A1" w:rsidRPr="000033F0" w:rsidRDefault="000609A1" w:rsidP="000E27D4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W przypadku, gdy do złożonego wniosku o dofinansowanie nie zostaną załączone dokumenty, z których jednoznacznie wynika, że wykazane w Załączniku nr 10 projekty/usługi zostały faktycznie zrealizowane oraz spełniają wymagane kryteria wniosek podlega odrzuceniu (negatywna ocena) na etapie oceny formalnej. </w:t>
            </w:r>
            <w:r w:rsidR="000E27D4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Wnioskodawca i Partnerzy (jeśli dotyczy) muszą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złożyć dokumenty, które jednoznacznie potwierdzą wykazane doświadczenie, gdyż na etapie oceny formalnej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lastRenderedPageBreak/>
              <w:t>nie ma możliwości uzupełniania dokumentów w zakresie zawartych w nim treści. Uzupełnieniu podlega jedynie brak złożonych dokumentów (wymaganych załączników potwierdzających spełnianie powyższego kryterium dostępu</w:t>
            </w:r>
            <w:r w:rsidR="000E27D4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, tj. oświadczenie oraz referencje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) na etapie weryfikacji poprawności złożonego wniosku. Projekt niespełniający tego kryterium otrzyma negatywną ocenę.</w:t>
            </w:r>
          </w:p>
        </w:tc>
      </w:tr>
      <w:tr w:rsidR="00B14473" w:rsidRPr="000033F0" w14:paraId="20F79E49" w14:textId="77777777" w:rsidTr="000033F0">
        <w:tc>
          <w:tcPr>
            <w:tcW w:w="567" w:type="dxa"/>
            <w:shd w:val="clear" w:color="auto" w:fill="auto"/>
            <w:vAlign w:val="center"/>
          </w:tcPr>
          <w:p w14:paraId="2F5827F2" w14:textId="19A7A8AC" w:rsidR="00B14473" w:rsidRPr="000033F0" w:rsidRDefault="002E4FD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B5FE3" w14:textId="77777777" w:rsidR="00B14473" w:rsidRPr="00B14473" w:rsidRDefault="00B14473" w:rsidP="00B144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Wnioskodawca, łącznie z partnerami (jeśli dotyczy) zaangażuje do reali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zacji projektu zespół ekspertów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(trenerów i doradców) posiadających doświadczenie w prowadzen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iu szkoleń lub usług doradczych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skierowanych do przedsiębiorców z zakresu ustawy Prawo zamówi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enia publiczne. W zależności od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planowanej w projekcie roli każdy ekspert zaangażowany w realizację projektu musi posiadać:</w:t>
            </w:r>
          </w:p>
          <w:p w14:paraId="58FA7B3A" w14:textId="24039C5A" w:rsidR="00B14473" w:rsidRPr="00B14473" w:rsidRDefault="00815B59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a)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przypadku trenerów, wypracowane co najmniej 240 godzin szko</w:t>
            </w:r>
            <w:r w:rsid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leniowych w okresie 3 lat przed 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terminem złożenia wniosku z obszaru prawa zamówień publicznych dla przedsiębiorców,</w:t>
            </w:r>
          </w:p>
          <w:p w14:paraId="1C565257" w14:textId="30F6B943" w:rsidR="00B14473" w:rsidRPr="00B14473" w:rsidRDefault="00815B59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b)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przypadku doradców, wypracowane co najmniej 240 godzin doradczych w okresie 3 lat p</w:t>
            </w:r>
            <w:r w:rsid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rzed 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terminem złożenia wniosku z obszaru prawa zamówień publicznych dla przedsiębiorców.</w:t>
            </w:r>
          </w:p>
          <w:p w14:paraId="36A18728" w14:textId="77777777" w:rsidR="00B14473" w:rsidRDefault="00B14473" w:rsidP="00B144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W przypadku łączenia w projekcie funkcji trenera i doradcy przez jedną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osobę, wymagane jest posiadanie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doświadczenia zarówno w odniesieniu do trenera, jak i doradcy.</w:t>
            </w:r>
          </w:p>
          <w:p w14:paraId="23BA4A7D" w14:textId="77777777" w:rsidR="00661A43" w:rsidRDefault="00661A43" w:rsidP="00B144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368571F0" w14:textId="77777777" w:rsidR="00B12DFF" w:rsidRDefault="00E575C9" w:rsidP="001A0C5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oświadczenia Wnioskodawcy (Załącznik nr 11) potwierdzającego, że do projektu zostanie zaangażowany zespół ekspertów spełniający kryteria określone w Regulaminie konkursu</w:t>
            </w: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, podpisanego przez osoby upoważnione do reprezentowania odpowiednio Wnioskodawcy lub Partnerów (jeśli dotyczy).</w:t>
            </w:r>
            <w:r w:rsidR="00A035EB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163B3CFE" w14:textId="37ECACF9" w:rsidR="00B14473" w:rsidRDefault="00A035EB" w:rsidP="001A0C5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Doświadczenie trenerów-ekspertów będzie weryfikowane 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na etapie wdrażania,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po podpisaniu umowy 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o dofinansowanie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zgodnie z wymaganiami 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określonymi w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załącznik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u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nr 4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do Regulaminu konkursu</w:t>
            </w:r>
            <w:r w:rsidR="009C30BB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</w:p>
          <w:p w14:paraId="64014D19" w14:textId="7AF55833" w:rsidR="001A0C51" w:rsidRPr="001A0C51" w:rsidRDefault="001A0C51" w:rsidP="001A0C5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</w:t>
            </w:r>
            <w:r w:rsidR="0060756C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na </w:t>
            </w:r>
            <w:r w:rsidR="0060756C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etapie oceny formalnej.</w:t>
            </w:r>
          </w:p>
        </w:tc>
      </w:tr>
      <w:tr w:rsidR="000609A1" w:rsidRPr="000033F0" w14:paraId="317BA719" w14:textId="77777777" w:rsidTr="000033F0">
        <w:tc>
          <w:tcPr>
            <w:tcW w:w="567" w:type="dxa"/>
            <w:shd w:val="clear" w:color="auto" w:fill="auto"/>
            <w:vAlign w:val="center"/>
          </w:tcPr>
          <w:p w14:paraId="59116955" w14:textId="2DBF0A82" w:rsidR="000609A1" w:rsidRPr="000033F0" w:rsidDel="008F7DE6" w:rsidRDefault="002E4FD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3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2D99E" w14:textId="64F89F8D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oraz partnerzy (jeśli dotyczy) prowadzą działalność w zakresie szkoleń i doradztwa.</w:t>
            </w:r>
          </w:p>
          <w:p w14:paraId="64633FEA" w14:textId="310DC734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178F1BDC" w14:textId="77777777" w:rsidR="00792B49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oceniane na podstawie zapisów wniosku o dofinansowanie oraz dokumentów rejestrowych Wnioskodawcy i Partnerów (jeśli dotyczy). </w:t>
            </w:r>
          </w:p>
          <w:p w14:paraId="4E97D2B7" w14:textId="314589F6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</w:t>
            </w:r>
            <w:r w:rsidR="0060756C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na etapie </w:t>
            </w:r>
            <w:r w:rsidR="0060756C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oceny formalnej.</w:t>
            </w:r>
          </w:p>
        </w:tc>
      </w:tr>
      <w:tr w:rsidR="000609A1" w:rsidRPr="000033F0" w14:paraId="3C2EA65E" w14:textId="77777777" w:rsidTr="000033F0">
        <w:tc>
          <w:tcPr>
            <w:tcW w:w="567" w:type="dxa"/>
            <w:shd w:val="clear" w:color="auto" w:fill="auto"/>
            <w:vAlign w:val="center"/>
          </w:tcPr>
          <w:p w14:paraId="6FC64425" w14:textId="1502F652" w:rsidR="000609A1" w:rsidRPr="000033F0" w:rsidDel="008F7DE6" w:rsidRDefault="002E4FD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C5AEC" w14:textId="2A9C0662" w:rsidR="000609A1" w:rsidRPr="000033F0" w:rsidRDefault="002E4FDD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bookmarkStart w:id="0" w:name="_GoBack"/>
            <w:r w:rsidRPr="002E4FD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Okres realizacji projektu nie </w:t>
            </w:r>
            <w:r w:rsidRPr="00996EB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przekracza </w:t>
            </w:r>
            <w:r w:rsidR="00F130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36</w:t>
            </w:r>
            <w:r w:rsidRPr="00996EB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miesięcy</w:t>
            </w:r>
            <w:r w:rsidRPr="0017380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  <w:r w:rsidRPr="002E4FD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a projekt rozpoczyna si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ę nie później niż 5 miesięcy od </w:t>
            </w:r>
            <w:r w:rsidRPr="002E4FD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daty ostatecznego terminu składania wniosków.</w:t>
            </w:r>
            <w:bookmarkEnd w:id="0"/>
          </w:p>
          <w:p w14:paraId="58A977AF" w14:textId="77777777" w:rsidR="004F19A1" w:rsidRDefault="004F19A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</w:p>
          <w:p w14:paraId="368923B3" w14:textId="77777777" w:rsidR="00A428AF" w:rsidRDefault="000609A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oceniane na podstawie zapisów wniosku o dofinansowanie – pkt. 1.7 – Okres realizacji projektu. </w:t>
            </w:r>
          </w:p>
          <w:p w14:paraId="7F88BFAF" w14:textId="344A6800" w:rsidR="002E4FDD" w:rsidRPr="001A0C51" w:rsidRDefault="000609A1" w:rsidP="00F1304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PARP będzie uznawała, że projekt trwa </w:t>
            </w:r>
            <w:r w:rsidR="00F13048">
              <w:rPr>
                <w:rFonts w:ascii="Calibri" w:eastAsia="Calibri" w:hAnsi="Calibri" w:cs="Arial"/>
                <w:i/>
                <w:sz w:val="20"/>
                <w:szCs w:val="20"/>
              </w:rPr>
              <w:t>36 miesięcy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, o ile jego realizacja zostanie zaplanowana na czas pełnych </w:t>
            </w:r>
            <w:r w:rsidR="00F13048">
              <w:rPr>
                <w:rFonts w:ascii="Calibri" w:eastAsia="Calibri" w:hAnsi="Calibri" w:cs="Arial"/>
                <w:i/>
                <w:sz w:val="20"/>
                <w:szCs w:val="20"/>
              </w:rPr>
              <w:t>36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miesięcy kalendarzowych np. od 14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201</w:t>
            </w:r>
            <w:r w:rsidR="002E4FDD">
              <w:rPr>
                <w:rFonts w:ascii="Calibri" w:eastAsia="Calibri" w:hAnsi="Calibri" w:cs="Arial"/>
                <w:i/>
                <w:sz w:val="20"/>
                <w:szCs w:val="20"/>
              </w:rPr>
              <w:t>7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do 13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20</w:t>
            </w:r>
            <w:r w:rsidR="00F13048">
              <w:rPr>
                <w:rFonts w:ascii="Calibri" w:eastAsia="Calibri" w:hAnsi="Calibri" w:cs="Arial"/>
                <w:i/>
                <w:sz w:val="20"/>
                <w:szCs w:val="20"/>
              </w:rPr>
              <w:t>20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. Projekt, którego realizacja zostałaby zaplanowana na czas np. od 14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201</w:t>
            </w:r>
            <w:r w:rsidR="002E4FDD">
              <w:rPr>
                <w:rFonts w:ascii="Calibri" w:eastAsia="Calibri" w:hAnsi="Calibri" w:cs="Arial"/>
                <w:i/>
                <w:sz w:val="20"/>
                <w:szCs w:val="20"/>
              </w:rPr>
              <w:t>7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do 14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20</w:t>
            </w:r>
            <w:r w:rsidR="00F13048">
              <w:rPr>
                <w:rFonts w:ascii="Calibri" w:eastAsia="Calibri" w:hAnsi="Calibri" w:cs="Arial"/>
                <w:i/>
                <w:sz w:val="20"/>
                <w:szCs w:val="20"/>
              </w:rPr>
              <w:t>20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trwa </w:t>
            </w:r>
            <w:r w:rsidR="00F13048">
              <w:rPr>
                <w:rFonts w:ascii="Calibri" w:eastAsia="Calibri" w:hAnsi="Calibri" w:cs="Arial"/>
                <w:i/>
                <w:sz w:val="20"/>
                <w:szCs w:val="20"/>
              </w:rPr>
              <w:t>36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miesi</w:t>
            </w:r>
            <w:r w:rsidR="00F13048">
              <w:rPr>
                <w:rFonts w:ascii="Calibri" w:eastAsia="Calibri" w:hAnsi="Calibri" w:cs="Arial"/>
                <w:i/>
                <w:sz w:val="20"/>
                <w:szCs w:val="20"/>
              </w:rPr>
              <w:t>ęcy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i 1 dzień i jako taki nie spełnia kryterium dostępu i jest negatywnie oceniony. Projekt niespełniający tego kryterium otrzyma negatywną ocenę.</w:t>
            </w:r>
          </w:p>
        </w:tc>
      </w:tr>
      <w:tr w:rsidR="002B31D1" w:rsidRPr="000033F0" w14:paraId="7F47FBE7" w14:textId="77777777" w:rsidTr="000033F0">
        <w:tc>
          <w:tcPr>
            <w:tcW w:w="567" w:type="dxa"/>
            <w:shd w:val="clear" w:color="auto" w:fill="auto"/>
            <w:vAlign w:val="center"/>
          </w:tcPr>
          <w:p w14:paraId="6B2E13D6" w14:textId="0797C1A9" w:rsidR="002B31D1" w:rsidRPr="000033F0" w:rsidDel="002E4FDD" w:rsidRDefault="002B31D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067E" w14:textId="3144BB53" w:rsidR="002B31D1" w:rsidRPr="002B31D1" w:rsidRDefault="002B31D1" w:rsidP="002B31D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oraz partnerzy (jeśli dotycz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y) zapewnią udzielenie wsparcia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zakresie objętym konkursem na terenie jednego z następujących makroregionów:</w:t>
            </w:r>
          </w:p>
          <w:p w14:paraId="2C4EFDE3" w14:textId="482530C4" w:rsidR="002B31D1" w:rsidRPr="002B31D1" w:rsidRDefault="002B31D1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lastRenderedPageBreak/>
              <w:t>a) Makroregion nr 1 (Województwo: kujawsko-pomorskie; podlaskie; 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omorskie; warmińsko-mazurskie),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dostępna alokacja – 3 344 480,00 PLN, w tym maksymalna wartość dofinansowania proje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ktu – 3 010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032,00 PLN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49298353" w14:textId="55CCA4D8" w:rsidR="002B31D1" w:rsidRPr="002B31D1" w:rsidRDefault="002B31D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b) Makroregion nr 2 (Województwo: lubelskie; mazowieckie), dostępna alo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kacja – 4 258 640,00 PLN, w tym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maksymalna wartość dofinansowania projektu – 3 832 776,00 PLN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09283AB5" w14:textId="26DCE3E9" w:rsidR="002B31D1" w:rsidRPr="002B31D1" w:rsidRDefault="002B31D1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c) Makroregion nr 3 (Województwo: małopolskie; podkarpackie; świętokrzys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kie), dostępna alokacja – 3 188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406,00 PLN, w tym maksymalna wartość dofinansowania projektu – 2 869 565,40 PLN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0B1E9BEB" w14:textId="069C9577" w:rsidR="002B31D1" w:rsidRPr="002B31D1" w:rsidRDefault="002B31D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d) Makroregion nr 4 (Województwo: łódzkie; opolskie; śląskie), dostępn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a alokacja –4 080 268,00 PLN, w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tym maksymalna wartość dofinansowania projektu 3 672 241,20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139C6AEB" w14:textId="3EBD37B4" w:rsidR="002B31D1" w:rsidRPr="002B31D1" w:rsidRDefault="002B31D1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e) Makroregion nr 5 (Województwo dolnośląskie; lubuskie; zachodnio-pomo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rskie; wielkopolskie), dostępna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alokacja – 5 128 206,00 PLN, w tym maksymalna wartość dofinansowania projektu – 4 615 385,40 PLN.</w:t>
            </w:r>
          </w:p>
          <w:p w14:paraId="401EA104" w14:textId="77777777" w:rsidR="0052464C" w:rsidRDefault="0052464C" w:rsidP="004D03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</w:p>
          <w:p w14:paraId="6315290B" w14:textId="77777777" w:rsidR="00B12DFF" w:rsidRDefault="0052464C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będzie oceniane na podstawie zapisów wniosku o dofinansowanie – pkt 1.8 – obszar realizacji projektu</w:t>
            </w:r>
            <w:r w:rsidR="00EC4199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(tj. makroregionu)</w:t>
            </w:r>
            <w:r w:rsidR="00EE10CE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, pkt. 3.2 – Grupy docelowe,  pkt 3.4 – Opis projektu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. </w:t>
            </w:r>
            <w:r w:rsidR="00EC4199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Składane w ramach konkursu projekty będą gromadzone i oceniane w odniesieniu do makroregionu, którego dotyczą</w:t>
            </w:r>
            <w:r w:rsidR="00EC4199" w:rsidRPr="00E55F9A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  <w:r w:rsidR="00E95B64" w:rsidRPr="009B79FE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61BBDE32" w14:textId="3DD47279" w:rsidR="002B31D1" w:rsidRPr="001A0C51" w:rsidRDefault="00E95B64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9B79FE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 niespełniający tego kryterium otrzyma negatywną ocenę.</w:t>
            </w:r>
          </w:p>
        </w:tc>
      </w:tr>
      <w:tr w:rsidR="00AF4800" w:rsidRPr="000033F0" w14:paraId="358DB98C" w14:textId="77777777" w:rsidTr="000033F0">
        <w:tc>
          <w:tcPr>
            <w:tcW w:w="567" w:type="dxa"/>
            <w:shd w:val="clear" w:color="auto" w:fill="auto"/>
            <w:vAlign w:val="center"/>
          </w:tcPr>
          <w:p w14:paraId="408CE42F" w14:textId="191408CD" w:rsidR="00AF4800" w:rsidRDefault="00AF4800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DD8AE" w14:textId="6C8C436A" w:rsidR="00AF4800" w:rsidRDefault="00AF4800" w:rsidP="00AF480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AF480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Wartość dofinansowania projektu nie może przekroczyć </w:t>
            </w:r>
            <w:r w:rsidR="00F130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kwoty dofinansowania</w:t>
            </w:r>
            <w:r w:rsidRPr="00AF480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przez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naczonej na realizację projektu </w:t>
            </w:r>
            <w:r w:rsidRPr="00AF480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danym makroregionie, wskazanym w Kryterium dostępu nr 5.</w:t>
            </w:r>
          </w:p>
          <w:p w14:paraId="4F16FDAE" w14:textId="77777777" w:rsidR="00792B49" w:rsidRDefault="00563A3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Kryterium będzie oceniane na podstawie zapisów wniosku o dofinansow</w:t>
            </w:r>
            <w:r w:rsidR="00A14CFB">
              <w:rPr>
                <w:rFonts w:ascii="Calibri" w:eastAsia="Calibri" w:hAnsi="Calibri" w:cs="Arial"/>
                <w:i/>
                <w:sz w:val="20"/>
                <w:szCs w:val="20"/>
              </w:rPr>
              <w:t>anie – pkt V – Budżet proj</w:t>
            </w:r>
            <w:r w:rsidR="004F125E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ektu. </w:t>
            </w:r>
          </w:p>
          <w:p w14:paraId="781AC1E7" w14:textId="400EEC61" w:rsidR="00AF4800" w:rsidRPr="001A0C51" w:rsidRDefault="00563A3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607B2F" w:rsidRPr="000033F0" w14:paraId="2BC3C368" w14:textId="77777777" w:rsidTr="000033F0">
        <w:tc>
          <w:tcPr>
            <w:tcW w:w="567" w:type="dxa"/>
            <w:shd w:val="clear" w:color="auto" w:fill="auto"/>
            <w:vAlign w:val="center"/>
          </w:tcPr>
          <w:p w14:paraId="23898AAF" w14:textId="102C3F21" w:rsidR="00607B2F" w:rsidRDefault="00607B2F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7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AFB53" w14:textId="6B7AD3A1" w:rsidR="0015459E" w:rsidRPr="0015459E" w:rsidRDefault="0015459E" w:rsidP="0015459E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Uczestnikami projektu są przedsiębiorcy (i ich pracownicy) z sektora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MMSP mający siedzibę (zgodnie z </w:t>
            </w: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dokumentem rejestrowym) na terenie makroregionu, którego dotyczy projekt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, zainteresowani ubieganiem się </w:t>
            </w: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 zamówienia publiczne na terenie Polski z zastrzeżeniem, iż co najmniej 25% uczestników projektu</w:t>
            </w:r>
          </w:p>
          <w:p w14:paraId="30538E3C" w14:textId="77777777" w:rsidR="00607B2F" w:rsidRDefault="0015459E" w:rsidP="0015459E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(wskaźnik rezultatu) pochodzi z każdego województwa wchodzącego w skła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d makroregionu, którego dotyczy </w:t>
            </w: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projekt.</w:t>
            </w:r>
          </w:p>
          <w:p w14:paraId="37AC9429" w14:textId="77777777" w:rsidR="003000DF" w:rsidRDefault="003000DF" w:rsidP="0015459E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04EDD4B" w14:textId="09EF4E49" w:rsidR="00B12DFF" w:rsidRDefault="00A7497A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C47B43">
              <w:rPr>
                <w:rFonts w:ascii="Calibri" w:eastAsia="Calibri" w:hAnsi="Calibri" w:cs="Arial"/>
                <w:i/>
                <w:sz w:val="20"/>
                <w:szCs w:val="20"/>
              </w:rPr>
              <w:t>Kryterium będzie weryfikowane na podstawie zapisów wniosku o dofinansowanie, szczególnie na podst</w:t>
            </w:r>
            <w:r w:rsidRPr="005953B8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awie punktu 3.2 – Grupy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docelowe</w:t>
            </w:r>
            <w:r w:rsidR="003000DF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oraz </w:t>
            </w:r>
            <w:r w:rsidR="00B12DFF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wskazanych przez Wnioskodawcę kryteriów doboru uczestników do projektu i metod/narzędzi ich weryfikacji. </w:t>
            </w:r>
          </w:p>
          <w:p w14:paraId="6E9A2D2B" w14:textId="6C8C281C" w:rsidR="0015459E" w:rsidRPr="00AF4800" w:rsidRDefault="00A7497A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953B8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  <w:r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</w:p>
        </w:tc>
      </w:tr>
      <w:tr w:rsidR="00C47B43" w:rsidRPr="000033F0" w14:paraId="33EDB6B6" w14:textId="77777777" w:rsidTr="000033F0">
        <w:tc>
          <w:tcPr>
            <w:tcW w:w="567" w:type="dxa"/>
            <w:shd w:val="clear" w:color="auto" w:fill="auto"/>
            <w:vAlign w:val="center"/>
          </w:tcPr>
          <w:p w14:paraId="475C490A" w14:textId="41873D5B" w:rsidR="00C47B43" w:rsidRDefault="00C47B43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8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9B980" w14:textId="77777777" w:rsidR="00C47B43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Wydatki związane ze zlecaniem usług merytorycznych nie prze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kraczają 30% wartości projektu.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Za zlecone usługi merytoryczne uznawany będzie zakup usług treners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kich i doradczych od wykonawców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zewnętrznych niebędących personelem projektów w rozumieniu Wytyczny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ch w zakresie kwalifikowalności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wydatków w ramach Europejskiego Funduszu Rozwoju Regionalnego, Eur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opejskiego Funduszu Społecznego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oraz Funduszu Spójności na lata 2014-2020.</w:t>
            </w:r>
          </w:p>
          <w:p w14:paraId="5BBE01FF" w14:textId="77777777" w:rsidR="005953B8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D3DEE48" w14:textId="21A83ABD" w:rsidR="00792B49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zapisów wniosku o dofinansowanie – pkt V i VI – Budżet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projektu</w:t>
            </w:r>
            <w:r w:rsidR="00EE1712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oraz opisu działań</w:t>
            </w:r>
            <w:r w:rsidR="0053068A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</w:p>
          <w:p w14:paraId="3A6AF2B4" w14:textId="1BEAFE46" w:rsidR="005953B8" w:rsidRPr="001A0C51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 niespełniający tego kryterium otrzyma negatywną ocenę.</w:t>
            </w:r>
          </w:p>
        </w:tc>
      </w:tr>
      <w:tr w:rsidR="005953B8" w:rsidRPr="000033F0" w14:paraId="5872125E" w14:textId="77777777" w:rsidTr="000033F0">
        <w:tc>
          <w:tcPr>
            <w:tcW w:w="567" w:type="dxa"/>
            <w:shd w:val="clear" w:color="auto" w:fill="auto"/>
            <w:vAlign w:val="center"/>
          </w:tcPr>
          <w:p w14:paraId="4C6BA834" w14:textId="2B37889A" w:rsidR="005953B8" w:rsidRDefault="005953B8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41E95" w14:textId="77777777" w:rsidR="005953B8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zobowiązany jest do zapewnienia wkładu własnego w wysoko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ści co najmniej 10,00% wartości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wydatków kwalifikowanych projektu. Wkład własny stanowią środki finansow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e w formie pieniężnej pozyskane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przez Wnioskodawcę od przedsiębiorców biorących udział w projekcie,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wysokości co najmniej 10,00%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kosztów usług szkoleniowych i doradczych.</w:t>
            </w:r>
          </w:p>
          <w:p w14:paraId="7704F923" w14:textId="77777777" w:rsidR="005953B8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9EF5D28" w14:textId="3C9B0B9B" w:rsidR="003877DF" w:rsidRPr="00B12DFF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będzie oceniane na podstawie zapisów wniosku o dofinansowanie – pkt V i VI – Budżet projektu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oraz Metodologii wyliczenia wartości wydatków objętych pomocą publiczną (w tym wnoszonego wkładu własnego) oraz pomocą de minimis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5920BFFC" w14:textId="3ED58AE4" w:rsidR="005953B8" w:rsidRPr="001A0C51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 niespełniający tego kryterium otrzyma negatywną ocenę.</w:t>
            </w:r>
          </w:p>
        </w:tc>
      </w:tr>
      <w:tr w:rsidR="0054451D" w:rsidRPr="000033F0" w14:paraId="48879F95" w14:textId="77777777" w:rsidTr="000033F0">
        <w:tc>
          <w:tcPr>
            <w:tcW w:w="567" w:type="dxa"/>
            <w:shd w:val="clear" w:color="auto" w:fill="auto"/>
            <w:vAlign w:val="center"/>
          </w:tcPr>
          <w:p w14:paraId="3D8AB5E7" w14:textId="529388DE" w:rsidR="0054451D" w:rsidRDefault="0054451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10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39DB" w14:textId="77777777" w:rsidR="0054451D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4451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Jeden podmiot może wystąpić w ramach konkursu - jako wnioskodawca albo pa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rtner - nie więcej niż 1 raz we </w:t>
            </w:r>
            <w:r w:rsidRPr="0054451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wnioskach o dofinansowanie złożonych w konkursie.</w:t>
            </w:r>
          </w:p>
          <w:p w14:paraId="44064F64" w14:textId="77777777" w:rsidR="0054451D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213E31FC" w14:textId="77777777" w:rsidR="003877DF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ocenianie na podstawie zestawienia złożonych do PARP wniosków o dofinansowanie projektów. </w:t>
            </w:r>
          </w:p>
          <w:p w14:paraId="0D71243B" w14:textId="6A104C43" w:rsidR="0054451D" w:rsidRPr="005953B8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5C5CF6" w:rsidRPr="001A0C51" w14:paraId="2E9A5BB5" w14:textId="77777777" w:rsidTr="00CC2BE0">
        <w:tc>
          <w:tcPr>
            <w:tcW w:w="567" w:type="dxa"/>
            <w:shd w:val="clear" w:color="auto" w:fill="auto"/>
            <w:vAlign w:val="center"/>
          </w:tcPr>
          <w:p w14:paraId="1E968854" w14:textId="55A32E2D" w:rsidR="005C5CF6" w:rsidRDefault="005C5CF6" w:rsidP="00CC2BE0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11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8C660" w14:textId="77777777" w:rsidR="005C5CF6" w:rsidRPr="00E34648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Projektodawca w okresie realizacji projektu prowadzi biuro projektu (lub posia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da siedzibę, filię, delegaturę, </w:t>
            </w: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oddział czy inną prawnie dozwoloną formę organizacyjną działalności 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odmiotu) na terenie co najmniej </w:t>
            </w: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jednego z województw wchodzących w skład makroregionu, którego dotyczy projekt z możliwością</w:t>
            </w:r>
          </w:p>
          <w:p w14:paraId="55DF0BC5" w14:textId="77777777" w:rsidR="005C5CF6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udostępnienia pełnej dokumentacji wdrażanego projektu oraz zapewniające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uczestnikom projektu możliwość </w:t>
            </w: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osobistego kontaktu z kadrą projektu.</w:t>
            </w:r>
          </w:p>
          <w:p w14:paraId="68D35590" w14:textId="77777777" w:rsidR="005C5CF6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E865CB8" w14:textId="77777777" w:rsidR="005C5CF6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Zgodnie z brzmieniem kryterium biuro projektu powinno być prowadzone na terenie co najmniej jednego województwa wchodzącego w skład makroregionu, którego dotyczy projekt przez cały okres realizacji projektu, czyli do momentu rozliczenia ostatniego wniosku beneficjenta o płatność.</w:t>
            </w:r>
          </w:p>
          <w:p w14:paraId="20BDF53C" w14:textId="77777777" w:rsidR="005C5CF6" w:rsidRDefault="005C5CF6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6D134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będzie oceniane na podstawie zapisów wniosku o dofinansowanie – pkt 3.4 Opis projektu oraz pkt. IV – Sposób realizacji projektu oraz potencjał i doświadczenie wnioskodawcy i partnerów.</w:t>
            </w:r>
          </w:p>
          <w:p w14:paraId="539FA56E" w14:textId="765F1848" w:rsidR="00B12DFF" w:rsidRPr="001A0C51" w:rsidRDefault="00B12DFF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C745FA" w:rsidRPr="000033F0" w14:paraId="3BB4A287" w14:textId="77777777" w:rsidTr="000033F0">
        <w:tc>
          <w:tcPr>
            <w:tcW w:w="567" w:type="dxa"/>
            <w:shd w:val="clear" w:color="auto" w:fill="auto"/>
            <w:vAlign w:val="center"/>
          </w:tcPr>
          <w:p w14:paraId="2B62517E" w14:textId="77777777" w:rsidR="00C745FA" w:rsidRDefault="00C745FA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D0924" w14:textId="608036B6" w:rsidR="00C745FA" w:rsidRPr="001A0C51" w:rsidRDefault="00C745FA" w:rsidP="001A0C51">
            <w:pPr>
              <w:spacing w:before="40" w:after="40" w:line="240" w:lineRule="exact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  <w:t>Kryteria dostępu weryfikowane na etapie oceny merytorycznej</w:t>
            </w:r>
          </w:p>
        </w:tc>
      </w:tr>
      <w:tr w:rsidR="00C0103D" w:rsidRPr="000033F0" w14:paraId="10542D60" w14:textId="77777777" w:rsidTr="000033F0">
        <w:tc>
          <w:tcPr>
            <w:tcW w:w="567" w:type="dxa"/>
            <w:shd w:val="clear" w:color="auto" w:fill="auto"/>
            <w:vAlign w:val="center"/>
          </w:tcPr>
          <w:p w14:paraId="51F3996A" w14:textId="4DE22D1E" w:rsidR="00C0103D" w:rsidRDefault="005C5CF6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12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67831" w14:textId="77777777" w:rsidR="00184BC1" w:rsidRPr="00184BC1" w:rsidRDefault="00184BC1" w:rsidP="00184BC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Projekt zakłada realizację, co najmniej następujących działań:</w:t>
            </w:r>
          </w:p>
          <w:p w14:paraId="5DA6D71C" w14:textId="4092D0AA" w:rsidR="00184BC1" w:rsidRPr="00184BC1" w:rsidRDefault="00184BC1" w:rsidP="003877DF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a) Przygotowanie i przeprowadzenie działań szkoleniowych z zak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resu ubiegania się o zamówienia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publiczne w Polsce skierowanych do przedsiębiorców sektora MMSP (i ich pracowników),</w:t>
            </w:r>
          </w:p>
          <w:p w14:paraId="7875BEDB" w14:textId="7E60B487" w:rsidR="00184BC1" w:rsidRPr="00184BC1" w:rsidRDefault="00184BC1" w:rsidP="003877DF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b) Zorganizowanie i prowadzenie działań doradczych (bez komp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onentu szkoleniowego) z zakresu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ubiegania się o zamówienia publiczne w Polsce skierowanych do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przedsiębiorców sektora MMSP (i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ich pracowników). W ramach świadczonego doradztwa przedsię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biorcy m.in. otrzymają wsparcie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doradcze w zakresie przygotowywania i składania ofert przeta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rgowych, weryfikacji spełniania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warunków, poszukiwania konsorcjantów, którzy razem spełniają warunki postępowania,</w:t>
            </w:r>
          </w:p>
          <w:p w14:paraId="1507BF64" w14:textId="4F14D70E" w:rsidR="00184BC1" w:rsidRPr="00184BC1" w:rsidRDefault="00184BC1" w:rsidP="003877DF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lastRenderedPageBreak/>
              <w:t>c) Przygotowanie i przeprowadzenie działań szkoleniowych, po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łączonych z formą warsztatową z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zakresu przygotowania przedsiębiorców sektora MMSP do wykorzy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stywania instrumentów e-zamówień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(działanie obligatoryjne w momencie wejśc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ie w życie przepisów i procedur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umożliwiających stosowanie e-zamówień),</w:t>
            </w:r>
          </w:p>
          <w:p w14:paraId="05267E70" w14:textId="721AB736" w:rsidR="002B63D3" w:rsidRDefault="00184BC1" w:rsidP="001A0C5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d) Monitorowanie udziału przedsiębiorców objętych projektem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rynku zamówień publicznych w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Polsce.</w:t>
            </w:r>
          </w:p>
          <w:p w14:paraId="05F38B41" w14:textId="77777777" w:rsidR="003877DF" w:rsidRDefault="003877DF" w:rsidP="001A0C5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393381E9" w14:textId="77777777" w:rsidR="00184BC1" w:rsidRDefault="00184BC1" w:rsidP="00184BC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2B63D3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zapisów wniosku o dofinansowanie – pkt 3.4 Opis projektu oraz pkt.  IV – Sposób realizacji projektu oraz potencjał i doświadczenie wnioskodawcy i partnerów. W przypadku, gdy Wnioskodawca we wniosku o dofinansowanie nie zaplanuje realizacji któregoś z ww. działań, wniosek otrzyma negatywną ocenę na etapie oceny merytorycznej, jako niespełniający kryterium dostępu weryfikowanego na etapie oceny merytorycznej.  </w:t>
            </w:r>
          </w:p>
          <w:p w14:paraId="095155C5" w14:textId="080B95F3" w:rsidR="00B12DFF" w:rsidRPr="002B63D3" w:rsidRDefault="00B12DFF" w:rsidP="00184BC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184BC1" w:rsidRPr="000033F0" w14:paraId="00954D92" w14:textId="77777777" w:rsidTr="000033F0">
        <w:tc>
          <w:tcPr>
            <w:tcW w:w="567" w:type="dxa"/>
            <w:shd w:val="clear" w:color="auto" w:fill="auto"/>
            <w:vAlign w:val="center"/>
          </w:tcPr>
          <w:p w14:paraId="33634102" w14:textId="78E9A42C" w:rsidR="00184BC1" w:rsidRDefault="005C5CF6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37941" w14:textId="0567191B" w:rsidR="001150DC" w:rsidRPr="001150DC" w:rsidRDefault="001150DC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150D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Działania merytoryczne w ramach projektu będą realizowane zg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odnie z minimalnymi wymaganiami </w:t>
            </w:r>
            <w:r w:rsidRPr="001150D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jakościowymi określonymi w Regulaminie konkursu zawierającymi co najmniej wymagania wobec:</w:t>
            </w:r>
          </w:p>
          <w:p w14:paraId="35AFA22F" w14:textId="332EF8C9" w:rsidR="001150DC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minimalnego zakresu tematycznego szkoleń,</w:t>
            </w:r>
          </w:p>
          <w:p w14:paraId="2DEDAA4F" w14:textId="0F78E096" w:rsidR="001150DC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trenerów prowadzących szkolenia,</w:t>
            </w:r>
          </w:p>
          <w:p w14:paraId="11AB6C3F" w14:textId="4607BF42" w:rsidR="001150DC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materiałów szkoleniowych przekazywanych uczestnikom szkolenia,</w:t>
            </w:r>
          </w:p>
          <w:p w14:paraId="5F3ADA47" w14:textId="0431FD36" w:rsidR="00184BC1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logistyki dotyczącej organizacji szkoleń.</w:t>
            </w:r>
          </w:p>
          <w:p w14:paraId="4A8EB235" w14:textId="77777777" w:rsidR="00C13A02" w:rsidRDefault="00C13A02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2FFC889E" w14:textId="708A7A1B" w:rsidR="00C13A02" w:rsidRPr="001A0C51" w:rsidRDefault="00C13A02" w:rsidP="00C13A02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zapisów wniosku o dofinansowanie – </w:t>
            </w:r>
            <w:r w:rsidRPr="004B1F02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pkt 3.4 Opis projektu oraz </w:t>
            </w: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pkt IV – Sposób realizacji projektu oraz potencjał i doświadczenie Wnioskodawcy i partnerów oraz na podstawie oświadczenia potwierdzającego, że Wnioskodawca dysponuje zespołem ekspertów o wymaganym doświadczeniu wg wzoru stanowiącego Załącznika nr 11 do Regulaminu, podpisanego przez osoby upoważnione do reprezentowania odpow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iednio Wnioskodawcy i Partnerów.</w:t>
            </w:r>
          </w:p>
          <w:p w14:paraId="3F8437A3" w14:textId="77777777" w:rsidR="00C13A02" w:rsidRDefault="00C13A02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zostanie uznane za spełnione, jeśli we wniosku o dofinasowanie w pkt 4.1 – Zadania pojawi się co najmniej informacja, że projekt będzie realizowany zgodnie z minimalnymi wymaganiami jakościowymi określonymi w Regulaminie konkursu</w:t>
            </w:r>
            <w:r w:rsidR="000B25F0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</w:p>
          <w:p w14:paraId="01C1BDA6" w14:textId="4E573012" w:rsidR="00B12DFF" w:rsidRPr="001A0C51" w:rsidRDefault="00B12DFF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</w:tbl>
    <w:p w14:paraId="12EA4F84" w14:textId="77777777" w:rsidR="000609A1" w:rsidRPr="000033F0" w:rsidRDefault="000609A1" w:rsidP="00A66C4D">
      <w:pPr>
        <w:jc w:val="both"/>
        <w:rPr>
          <w:rFonts w:ascii="Calibri" w:hAnsi="Calibri"/>
          <w:sz w:val="20"/>
          <w:szCs w:val="20"/>
        </w:rPr>
      </w:pPr>
    </w:p>
    <w:p w14:paraId="6E5D2CB1" w14:textId="77777777" w:rsidR="000609A1" w:rsidRPr="000033F0" w:rsidRDefault="000609A1" w:rsidP="00A66C4D">
      <w:pPr>
        <w:jc w:val="both"/>
        <w:rPr>
          <w:rFonts w:ascii="Calibri" w:hAnsi="Calibri"/>
          <w:sz w:val="20"/>
          <w:szCs w:val="20"/>
        </w:rPr>
      </w:pPr>
    </w:p>
    <w:sectPr w:rsidR="000609A1" w:rsidRPr="000033F0" w:rsidSect="000033F0">
      <w:headerReference w:type="default" r:id="rId8"/>
      <w:footerReference w:type="default" r:id="rId9"/>
      <w:pgSz w:w="16838" w:h="11906" w:orient="landscape"/>
      <w:pgMar w:top="1417" w:right="180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A047" w14:textId="77777777" w:rsidR="00663907" w:rsidRDefault="00663907" w:rsidP="00F91883">
      <w:pPr>
        <w:spacing w:after="0" w:line="240" w:lineRule="auto"/>
      </w:pPr>
      <w:r>
        <w:separator/>
      </w:r>
    </w:p>
  </w:endnote>
  <w:endnote w:type="continuationSeparator" w:id="0">
    <w:p w14:paraId="753CB4A9" w14:textId="77777777" w:rsidR="00663907" w:rsidRDefault="00663907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2E968DDA" w14:textId="77777777" w:rsidR="00422491" w:rsidRDefault="00422491" w:rsidP="00422491">
        <w:pPr>
          <w:pStyle w:val="Stopka"/>
        </w:pPr>
      </w:p>
      <w:p w14:paraId="60CCB078" w14:textId="5BE5D6C7" w:rsidR="00422491" w:rsidRPr="008D0234" w:rsidRDefault="00422491" w:rsidP="00422491">
        <w:pPr>
          <w:pStyle w:val="Stopka"/>
          <w:rPr>
            <w:sz w:val="18"/>
            <w:szCs w:val="18"/>
          </w:rPr>
        </w:pPr>
        <w:r w:rsidRPr="008D0234">
          <w:rPr>
            <w:sz w:val="18"/>
            <w:szCs w:val="18"/>
          </w:rPr>
          <w:t xml:space="preserve">Konkurs </w:t>
        </w:r>
        <w:r w:rsidR="00F16C9E">
          <w:rPr>
            <w:sz w:val="18"/>
            <w:szCs w:val="18"/>
          </w:rPr>
          <w:t>nr POWR.02.02.00-IP.09-00-009/17</w:t>
        </w:r>
      </w:p>
      <w:p w14:paraId="279AE85A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55C">
          <w:rPr>
            <w:noProof/>
          </w:rPr>
          <w:t>4</w:t>
        </w:r>
        <w:r>
          <w:fldChar w:fldCharType="end"/>
        </w:r>
      </w:p>
    </w:sdtContent>
  </w:sdt>
  <w:p w14:paraId="7CD088BA" w14:textId="77777777" w:rsidR="00E2586C" w:rsidRDefault="00E25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2EB3" w14:textId="77777777" w:rsidR="00663907" w:rsidRDefault="00663907" w:rsidP="00F91883">
      <w:pPr>
        <w:spacing w:after="0" w:line="240" w:lineRule="auto"/>
      </w:pPr>
      <w:r>
        <w:separator/>
      </w:r>
    </w:p>
  </w:footnote>
  <w:footnote w:type="continuationSeparator" w:id="0">
    <w:p w14:paraId="4563FDEA" w14:textId="77777777" w:rsidR="00663907" w:rsidRDefault="00663907" w:rsidP="00F9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DEB5E" w14:textId="77777777" w:rsidR="00E2586C" w:rsidRDefault="00E2586C" w:rsidP="002B1C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4A1125" wp14:editId="49807535">
          <wp:extent cx="5753100" cy="781050"/>
          <wp:effectExtent l="19050" t="0" r="0" b="0"/>
          <wp:docPr id="5" name="Obraz 5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7" w15:restartNumberingAfterBreak="0">
    <w:nsid w:val="13F54A66"/>
    <w:multiLevelType w:val="hybridMultilevel"/>
    <w:tmpl w:val="BE66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9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0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1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4" w15:restartNumberingAfterBreak="0">
    <w:nsid w:val="2C0A3C1F"/>
    <w:multiLevelType w:val="hybridMultilevel"/>
    <w:tmpl w:val="DE060E80"/>
    <w:lvl w:ilvl="0" w:tplc="7F8485C2">
      <w:numFmt w:val="bullet"/>
      <w:lvlText w:val="·"/>
      <w:lvlJc w:val="left"/>
      <w:pPr>
        <w:ind w:left="99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6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17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0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3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6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3376EB"/>
    <w:multiLevelType w:val="hybridMultilevel"/>
    <w:tmpl w:val="E3340740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6"/>
  </w:num>
  <w:num w:numId="5">
    <w:abstractNumId w:val="18"/>
  </w:num>
  <w:num w:numId="6">
    <w:abstractNumId w:val="11"/>
  </w:num>
  <w:num w:numId="7">
    <w:abstractNumId w:val="15"/>
  </w:num>
  <w:num w:numId="8">
    <w:abstractNumId w:val="22"/>
  </w:num>
  <w:num w:numId="9">
    <w:abstractNumId w:val="13"/>
  </w:num>
  <w:num w:numId="10">
    <w:abstractNumId w:val="24"/>
  </w:num>
  <w:num w:numId="11">
    <w:abstractNumId w:val="10"/>
  </w:num>
  <w:num w:numId="12">
    <w:abstractNumId w:val="3"/>
  </w:num>
  <w:num w:numId="13">
    <w:abstractNumId w:val="8"/>
  </w:num>
  <w:num w:numId="14">
    <w:abstractNumId w:val="16"/>
  </w:num>
  <w:num w:numId="15">
    <w:abstractNumId w:val="25"/>
  </w:num>
  <w:num w:numId="16">
    <w:abstractNumId w:val="4"/>
  </w:num>
  <w:num w:numId="17">
    <w:abstractNumId w:val="12"/>
  </w:num>
  <w:num w:numId="18">
    <w:abstractNumId w:val="23"/>
  </w:num>
  <w:num w:numId="19">
    <w:abstractNumId w:val="5"/>
  </w:num>
  <w:num w:numId="20">
    <w:abstractNumId w:val="2"/>
  </w:num>
  <w:num w:numId="21">
    <w:abstractNumId w:val="28"/>
  </w:num>
  <w:num w:numId="22">
    <w:abstractNumId w:val="17"/>
  </w:num>
  <w:num w:numId="23">
    <w:abstractNumId w:val="0"/>
  </w:num>
  <w:num w:numId="24">
    <w:abstractNumId w:val="20"/>
  </w:num>
  <w:num w:numId="25">
    <w:abstractNumId w:val="7"/>
  </w:num>
  <w:num w:numId="26">
    <w:abstractNumId w:val="9"/>
  </w:num>
  <w:num w:numId="27">
    <w:abstractNumId w:val="26"/>
  </w:num>
  <w:num w:numId="28">
    <w:abstractNumId w:val="2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3F0"/>
    <w:rsid w:val="000265F2"/>
    <w:rsid w:val="0003269D"/>
    <w:rsid w:val="0005465E"/>
    <w:rsid w:val="000609A1"/>
    <w:rsid w:val="00077329"/>
    <w:rsid w:val="0008045A"/>
    <w:rsid w:val="00081192"/>
    <w:rsid w:val="00084C0F"/>
    <w:rsid w:val="000B25F0"/>
    <w:rsid w:val="000D1F29"/>
    <w:rsid w:val="000E27D4"/>
    <w:rsid w:val="001150DC"/>
    <w:rsid w:val="0015459E"/>
    <w:rsid w:val="001551F4"/>
    <w:rsid w:val="0017380B"/>
    <w:rsid w:val="00184BC1"/>
    <w:rsid w:val="001A0C51"/>
    <w:rsid w:val="001B0C03"/>
    <w:rsid w:val="001D6A1C"/>
    <w:rsid w:val="001F2AE6"/>
    <w:rsid w:val="002008E6"/>
    <w:rsid w:val="00201A2A"/>
    <w:rsid w:val="00204C33"/>
    <w:rsid w:val="00232FF5"/>
    <w:rsid w:val="002A58AA"/>
    <w:rsid w:val="002A644F"/>
    <w:rsid w:val="002B1C96"/>
    <w:rsid w:val="002B31D1"/>
    <w:rsid w:val="002B63D3"/>
    <w:rsid w:val="002E4FDD"/>
    <w:rsid w:val="003000DF"/>
    <w:rsid w:val="00327D7D"/>
    <w:rsid w:val="003808F2"/>
    <w:rsid w:val="003877DF"/>
    <w:rsid w:val="0039674C"/>
    <w:rsid w:val="003B0DED"/>
    <w:rsid w:val="003B1EF7"/>
    <w:rsid w:val="003B6FCC"/>
    <w:rsid w:val="003D5249"/>
    <w:rsid w:val="00411AA2"/>
    <w:rsid w:val="00422491"/>
    <w:rsid w:val="00425F7E"/>
    <w:rsid w:val="0043097D"/>
    <w:rsid w:val="00440B16"/>
    <w:rsid w:val="00456B4C"/>
    <w:rsid w:val="004B1F02"/>
    <w:rsid w:val="004D0373"/>
    <w:rsid w:val="004F125E"/>
    <w:rsid w:val="004F19A1"/>
    <w:rsid w:val="0052464C"/>
    <w:rsid w:val="0053068A"/>
    <w:rsid w:val="0054451D"/>
    <w:rsid w:val="00554CEA"/>
    <w:rsid w:val="00563A33"/>
    <w:rsid w:val="00572617"/>
    <w:rsid w:val="005811D4"/>
    <w:rsid w:val="005953B8"/>
    <w:rsid w:val="005C3D2D"/>
    <w:rsid w:val="005C5CF6"/>
    <w:rsid w:val="0060756C"/>
    <w:rsid w:val="00607B2F"/>
    <w:rsid w:val="006238C7"/>
    <w:rsid w:val="00661A43"/>
    <w:rsid w:val="00663907"/>
    <w:rsid w:val="00666232"/>
    <w:rsid w:val="006A249D"/>
    <w:rsid w:val="006C163E"/>
    <w:rsid w:val="006D134F"/>
    <w:rsid w:val="006E5EE3"/>
    <w:rsid w:val="007033E1"/>
    <w:rsid w:val="00703F6D"/>
    <w:rsid w:val="00705788"/>
    <w:rsid w:val="00710716"/>
    <w:rsid w:val="00715825"/>
    <w:rsid w:val="00770490"/>
    <w:rsid w:val="00792B49"/>
    <w:rsid w:val="007B5077"/>
    <w:rsid w:val="007E0874"/>
    <w:rsid w:val="007E2C9C"/>
    <w:rsid w:val="00815B59"/>
    <w:rsid w:val="00817A56"/>
    <w:rsid w:val="00821F61"/>
    <w:rsid w:val="0086076D"/>
    <w:rsid w:val="0086540C"/>
    <w:rsid w:val="0089028D"/>
    <w:rsid w:val="008B0942"/>
    <w:rsid w:val="008C1B2B"/>
    <w:rsid w:val="008C3601"/>
    <w:rsid w:val="008E16C3"/>
    <w:rsid w:val="00974C21"/>
    <w:rsid w:val="00996EBB"/>
    <w:rsid w:val="00997AB3"/>
    <w:rsid w:val="009C30BB"/>
    <w:rsid w:val="009E3D07"/>
    <w:rsid w:val="009F069C"/>
    <w:rsid w:val="00A035EB"/>
    <w:rsid w:val="00A14CFB"/>
    <w:rsid w:val="00A215FE"/>
    <w:rsid w:val="00A409CF"/>
    <w:rsid w:val="00A428AF"/>
    <w:rsid w:val="00A66C4D"/>
    <w:rsid w:val="00A679DE"/>
    <w:rsid w:val="00A7154C"/>
    <w:rsid w:val="00A7497A"/>
    <w:rsid w:val="00AA05BE"/>
    <w:rsid w:val="00AB4EC6"/>
    <w:rsid w:val="00AE4772"/>
    <w:rsid w:val="00AF4800"/>
    <w:rsid w:val="00B00B70"/>
    <w:rsid w:val="00B12DFF"/>
    <w:rsid w:val="00B14473"/>
    <w:rsid w:val="00BA05AF"/>
    <w:rsid w:val="00BE7406"/>
    <w:rsid w:val="00C0103D"/>
    <w:rsid w:val="00C1234D"/>
    <w:rsid w:val="00C12AB6"/>
    <w:rsid w:val="00C13A02"/>
    <w:rsid w:val="00C2387A"/>
    <w:rsid w:val="00C31764"/>
    <w:rsid w:val="00C47B43"/>
    <w:rsid w:val="00C6555C"/>
    <w:rsid w:val="00C745FA"/>
    <w:rsid w:val="00C90EBB"/>
    <w:rsid w:val="00C954FC"/>
    <w:rsid w:val="00D0577C"/>
    <w:rsid w:val="00D602CD"/>
    <w:rsid w:val="00D71A15"/>
    <w:rsid w:val="00DA069C"/>
    <w:rsid w:val="00DD39AF"/>
    <w:rsid w:val="00DE3E40"/>
    <w:rsid w:val="00E13D7C"/>
    <w:rsid w:val="00E15D88"/>
    <w:rsid w:val="00E1714B"/>
    <w:rsid w:val="00E2586C"/>
    <w:rsid w:val="00E34648"/>
    <w:rsid w:val="00E52091"/>
    <w:rsid w:val="00E575C9"/>
    <w:rsid w:val="00E60D61"/>
    <w:rsid w:val="00E878B9"/>
    <w:rsid w:val="00E95B64"/>
    <w:rsid w:val="00EC4199"/>
    <w:rsid w:val="00EC7337"/>
    <w:rsid w:val="00EE10CE"/>
    <w:rsid w:val="00EE1712"/>
    <w:rsid w:val="00EE6C6C"/>
    <w:rsid w:val="00EF4D53"/>
    <w:rsid w:val="00F01418"/>
    <w:rsid w:val="00F13048"/>
    <w:rsid w:val="00F16C9E"/>
    <w:rsid w:val="00F21574"/>
    <w:rsid w:val="00F415A2"/>
    <w:rsid w:val="00F46B52"/>
    <w:rsid w:val="00F62FFC"/>
    <w:rsid w:val="00F809A9"/>
    <w:rsid w:val="00F91883"/>
    <w:rsid w:val="00F9476D"/>
    <w:rsid w:val="00FA11DC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D9F6"/>
  <w15:docId w15:val="{2F764A43-5B90-4F61-9690-820ECEB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32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32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40CC-5ED0-4F92-A033-61250011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2</cp:revision>
  <cp:lastPrinted>2017-05-23T10:18:00Z</cp:lastPrinted>
  <dcterms:created xsi:type="dcterms:W3CDTF">2017-09-13T06:31:00Z</dcterms:created>
  <dcterms:modified xsi:type="dcterms:W3CDTF">2017-09-13T06:31:00Z</dcterms:modified>
</cp:coreProperties>
</file>